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F9" w:rsidRDefault="00670BA2" w:rsidP="000E40F4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  <w:lang w:eastAsia="ru-RU"/>
        </w:rPr>
        <w:drawing>
          <wp:inline distT="0" distB="0" distL="0" distR="0">
            <wp:extent cx="3675888" cy="20687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киз_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759" cy="20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8F9" w:rsidRPr="0018041E" w:rsidRDefault="0018041E" w:rsidP="000E40F4">
      <w:pPr>
        <w:jc w:val="center"/>
        <w:rPr>
          <w:rFonts w:ascii="Arial" w:hAnsi="Arial" w:cs="Arial"/>
          <w:b/>
          <w:sz w:val="24"/>
          <w:szCs w:val="28"/>
          <w:lang w:val="en-US"/>
        </w:rPr>
      </w:pPr>
      <w:r>
        <w:rPr>
          <w:rFonts w:ascii="Arial" w:hAnsi="Arial" w:cs="Arial"/>
          <w:b/>
          <w:sz w:val="24"/>
          <w:szCs w:val="28"/>
          <w:lang w:val="en-US"/>
        </w:rPr>
        <w:t>PRESS-RELEASE</w:t>
      </w:r>
    </w:p>
    <w:p w:rsidR="002948F9" w:rsidRPr="0077582B" w:rsidRDefault="00603780" w:rsidP="000E40F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April</w:t>
      </w:r>
      <w:r w:rsidR="0018041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67F40">
        <w:rPr>
          <w:rFonts w:ascii="Arial" w:hAnsi="Arial" w:cs="Arial"/>
          <w:b/>
          <w:sz w:val="28"/>
          <w:szCs w:val="28"/>
        </w:rPr>
        <w:t>25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77582B">
        <w:rPr>
          <w:rFonts w:ascii="Arial" w:hAnsi="Arial" w:cs="Arial"/>
          <w:b/>
          <w:sz w:val="28"/>
          <w:szCs w:val="28"/>
          <w:lang w:val="en-US"/>
        </w:rPr>
        <w:t>, 2019</w:t>
      </w:r>
    </w:p>
    <w:p w:rsidR="00634114" w:rsidRPr="00603780" w:rsidRDefault="00634114" w:rsidP="000E40F4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03780" w:rsidRPr="00603780" w:rsidRDefault="00D12832" w:rsidP="00D128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Rovesnik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 holds celebrations </w:t>
      </w:r>
      <w:r w:rsidR="00E15FD3" w:rsidRPr="00E15FD3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“</w:t>
      </w:r>
      <w:r w:rsidR="00E15FD3" w:rsidRPr="00E15FD3">
        <w:rPr>
          <w:rFonts w:ascii="Arial" w:eastAsia="Times New Roman" w:hAnsi="Arial" w:cs="Arial"/>
          <w:b/>
          <w:i/>
          <w:color w:val="000000"/>
          <w:sz w:val="28"/>
          <w:szCs w:val="28"/>
          <w:lang w:val="en-US" w:eastAsia="ru-RU"/>
        </w:rPr>
        <w:t>We are Children of the Space”</w:t>
      </w:r>
      <w:r w:rsidR="00E15FD3" w:rsidRPr="00E15FD3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for </w:t>
      </w:r>
      <w:r w:rsidR="00603780" w:rsidRPr="00603780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260 children from Saratov region </w:t>
      </w:r>
    </w:p>
    <w:p w:rsidR="00603780" w:rsidRPr="00603780" w:rsidRDefault="00603780" w:rsidP="0060378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p w:rsidR="00603780" w:rsidRPr="00603780" w:rsidRDefault="00603780" w:rsidP="00603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proofErr w:type="spellStart"/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Rovesnik</w:t>
      </w:r>
      <w:proofErr w:type="spellEnd"/>
      <w:r w:rsidR="00D1283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, the children’s 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health center</w:t>
      </w:r>
      <w:r w:rsidR="00D1283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D1283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held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its traditional</w:t>
      </w:r>
      <w:r w:rsidR="00D1283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celebrations</w:t>
      </w:r>
      <w:r w:rsidR="00D1283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attributed to 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Cosmonautics Da</w:t>
      </w:r>
      <w:r w:rsidR="00D1283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y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for 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school children and students of Saratov region within the framework of 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“</w:t>
      </w:r>
      <w:r w:rsidRPr="00E15FD3">
        <w:rPr>
          <w:rFonts w:ascii="Arial" w:eastAsia="Times New Roman" w:hAnsi="Arial" w:cs="Arial"/>
          <w:i/>
          <w:color w:val="000000"/>
          <w:sz w:val="28"/>
          <w:szCs w:val="28"/>
          <w:lang w:val="en-US" w:eastAsia="ru-RU"/>
        </w:rPr>
        <w:t xml:space="preserve">We are </w:t>
      </w:r>
      <w:r w:rsidR="00E15FD3">
        <w:rPr>
          <w:rFonts w:ascii="Arial" w:eastAsia="Times New Roman" w:hAnsi="Arial" w:cs="Arial"/>
          <w:i/>
          <w:color w:val="000000"/>
          <w:sz w:val="28"/>
          <w:szCs w:val="28"/>
          <w:lang w:val="en-US" w:eastAsia="ru-RU"/>
        </w:rPr>
        <w:t>Children of the</w:t>
      </w:r>
      <w:r w:rsidRPr="00E15FD3">
        <w:rPr>
          <w:rFonts w:ascii="Arial" w:eastAsia="Times New Roman" w:hAnsi="Arial" w:cs="Arial"/>
          <w:i/>
          <w:color w:val="000000"/>
          <w:sz w:val="28"/>
          <w:szCs w:val="28"/>
          <w:lang w:val="en-US" w:eastAsia="ru-RU"/>
        </w:rPr>
        <w:t xml:space="preserve"> Space</w:t>
      </w:r>
      <w:r w:rsidR="00E15FD3" w:rsidRPr="00E15FD3">
        <w:rPr>
          <w:rFonts w:ascii="Arial" w:eastAsia="Times New Roman" w:hAnsi="Arial" w:cs="Arial"/>
          <w:i/>
          <w:color w:val="000000"/>
          <w:sz w:val="28"/>
          <w:szCs w:val="28"/>
          <w:lang w:val="en-US" w:eastAsia="ru-RU"/>
        </w:rPr>
        <w:t>”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project.</w:t>
      </w:r>
    </w:p>
    <w:p w:rsidR="00603780" w:rsidRPr="00603780" w:rsidRDefault="00603780" w:rsidP="00603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For several years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in a row, 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OAO </w:t>
      </w:r>
      <w:proofErr w:type="spellStart"/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Saratovneftegaz</w:t>
      </w:r>
      <w:proofErr w:type="spellEnd"/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 the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Company’s subsidiary, has been inviting 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talented children from all over the region, interested in 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engineering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and art</w:t>
      </w:r>
      <w:r w:rsidR="0018041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 winners of the contests devoted to space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theme, to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its </w:t>
      </w:r>
      <w:proofErr w:type="spellStart"/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Rovesnik</w:t>
      </w:r>
      <w:proofErr w:type="spellEnd"/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center to celebrate 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Cosmonautics Day in April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. 26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0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school children </w:t>
      </w:r>
      <w:r w:rsidR="00E15FD3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from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E15FD3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schools of Saratov, Engels, </w:t>
      </w:r>
      <w:proofErr w:type="spellStart"/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Sovetsky</w:t>
      </w:r>
      <w:proofErr w:type="spellEnd"/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and </w:t>
      </w:r>
      <w:proofErr w:type="spellStart"/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Rovensky</w:t>
      </w:r>
      <w:proofErr w:type="spellEnd"/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districts 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as well as the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first year students from </w:t>
      </w:r>
      <w:proofErr w:type="spellStart"/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Bogolubov</w:t>
      </w:r>
      <w:proofErr w:type="spellEnd"/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Arts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College and Gagarin Professional and Teacher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</w:t>
      </w:r>
      <w:r w:rsidR="0018041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’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Training College 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came to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Rovesnik</w:t>
      </w:r>
      <w:proofErr w:type="spellEnd"/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for celebration. The center 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organized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meetings with popular people whose activity is related to space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and piloting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: cosmonauts, test engineers,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scientists,</w:t>
      </w:r>
      <w:r w:rsidR="0080287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earlier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80287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they 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could </w:t>
      </w:r>
      <w:r w:rsidR="0018041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be 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see</w:t>
      </w:r>
      <w:r w:rsidR="0080287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</w:t>
      </w:r>
      <w:r w:rsidR="00E15FD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only 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by TV. </w:t>
      </w:r>
    </w:p>
    <w:p w:rsidR="00603780" w:rsidRPr="00603780" w:rsidRDefault="00802874" w:rsidP="00603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proofErr w:type="spellStart"/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Alexandr</w:t>
      </w:r>
      <w:proofErr w:type="spellEnd"/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Balandin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 t</w:t>
      </w:r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he Soviet hero,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cosmonaut and pilot,</w:t>
      </w:r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spoke in front of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the</w:t>
      </w:r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guests</w:t>
      </w:r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and told about his flight with </w:t>
      </w:r>
      <w:proofErr w:type="spellStart"/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Souyz</w:t>
      </w:r>
      <w:proofErr w:type="spellEnd"/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TM-9 and about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his</w:t>
      </w:r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work at Mir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Space S</w:t>
      </w:r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tation. PhD Viktor </w:t>
      </w:r>
      <w:proofErr w:type="spellStart"/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Porokhnya</w:t>
      </w:r>
      <w:proofErr w:type="spellEnd"/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, the honorable member of </w:t>
      </w:r>
      <w:proofErr w:type="spellStart"/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Tsiolkovsky</w:t>
      </w:r>
      <w:proofErr w:type="spellEnd"/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Russi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an Space Academy, MAI Professor, recalled</w:t>
      </w:r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the youth of </w:t>
      </w:r>
      <w:proofErr w:type="spellStart"/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Yuriy</w:t>
      </w:r>
      <w:proofErr w:type="spellEnd"/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Gagarin, the first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cosmonaut</w:t>
      </w:r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, his friend and co-student in Saratov 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Industrial</w:t>
      </w:r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College. The guests of the center also took part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in </w:t>
      </w:r>
      <w:proofErr w:type="spellStart"/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en</w:t>
      </w:r>
      <w:proofErr w:type="spellEnd"/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plein</w:t>
      </w:r>
      <w:proofErr w:type="spellEnd"/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air activities with Valery </w:t>
      </w:r>
      <w:proofErr w:type="spellStart"/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Rzhevsky</w:t>
      </w:r>
      <w:proofErr w:type="spellEnd"/>
      <w:r w:rsidR="00603780"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 the honorable architect of the Russian Academy of Arts.</w:t>
      </w:r>
    </w:p>
    <w:p w:rsidR="00F34ACA" w:rsidRPr="00802874" w:rsidRDefault="00603780" w:rsidP="008028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lastRenderedPageBreak/>
        <w:t xml:space="preserve">The arrangers of the project </w:t>
      </w:r>
      <w:r w:rsidR="0080287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also </w:t>
      </w:r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organized an philatelic </w:t>
      </w:r>
      <w:proofErr w:type="gramStart"/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exhibition  which</w:t>
      </w:r>
      <w:proofErr w:type="gramEnd"/>
      <w:r w:rsidRPr="0060378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contained rare first day of issue postmarks devoted to space, as well as unique exhibits which were taken into space.</w:t>
      </w:r>
    </w:p>
    <w:p w:rsidR="00F34ACA" w:rsidRPr="00603780" w:rsidRDefault="00F34ACA" w:rsidP="00B414BA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F34ACA" w:rsidRPr="00603780" w:rsidRDefault="00F34ACA" w:rsidP="00B414BA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B414BA" w:rsidRPr="00603780" w:rsidRDefault="00B414BA" w:rsidP="00271BFD">
      <w:pPr>
        <w:spacing w:line="360" w:lineRule="auto"/>
        <w:ind w:left="63"/>
        <w:jc w:val="both"/>
        <w:rPr>
          <w:rFonts w:ascii="Arial" w:hAnsi="Arial" w:cs="Arial"/>
          <w:sz w:val="24"/>
          <w:szCs w:val="28"/>
          <w:lang w:val="en-US"/>
        </w:rPr>
      </w:pPr>
    </w:p>
    <w:p w:rsidR="00115A90" w:rsidRPr="00603780" w:rsidRDefault="00115A90">
      <w:pPr>
        <w:rPr>
          <w:rFonts w:ascii="Arial" w:hAnsi="Arial" w:cs="Arial"/>
          <w:sz w:val="24"/>
          <w:szCs w:val="28"/>
          <w:lang w:val="en-US"/>
        </w:rPr>
      </w:pPr>
    </w:p>
    <w:p w:rsidR="00115A90" w:rsidRPr="00DE6618" w:rsidRDefault="00DE6618" w:rsidP="00115A90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Tap link for the full</w:t>
      </w:r>
      <w:r w:rsidRPr="00DE661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version</w:t>
      </w:r>
      <w:r w:rsidRPr="00DE661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of</w:t>
      </w:r>
      <w:r w:rsidRPr="00DE661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ISFR</w:t>
      </w:r>
      <w:r w:rsidRPr="00DE661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financial</w:t>
      </w:r>
      <w:r w:rsidRPr="00DE661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results</w:t>
      </w:r>
      <w:r w:rsidR="00115A90" w:rsidRPr="00DE6618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115A90" w:rsidRPr="00603780" w:rsidRDefault="00367F40" w:rsidP="00115A90">
      <w:pPr>
        <w:rPr>
          <w:rFonts w:ascii="Arial" w:hAnsi="Arial" w:cs="Arial"/>
          <w:b/>
          <w:bCs/>
          <w:sz w:val="20"/>
          <w:szCs w:val="20"/>
          <w:lang w:val="en-US"/>
        </w:rPr>
      </w:pPr>
      <w:hyperlink r:id="rId9" w:history="1">
        <w:r w:rsidR="00115A90" w:rsidRPr="001A6D02">
          <w:rPr>
            <w:rStyle w:val="a4"/>
            <w:rFonts w:ascii="Arial" w:hAnsi="Arial" w:cs="Arial"/>
            <w:b/>
            <w:bCs/>
            <w:sz w:val="20"/>
            <w:szCs w:val="20"/>
            <w:lang w:val="en-US"/>
          </w:rPr>
          <w:t>http</w:t>
        </w:r>
        <w:r w:rsidR="00115A90" w:rsidRPr="00603780">
          <w:rPr>
            <w:rStyle w:val="a4"/>
            <w:rFonts w:ascii="Arial" w:hAnsi="Arial" w:cs="Arial"/>
            <w:b/>
            <w:bCs/>
            <w:sz w:val="20"/>
            <w:szCs w:val="20"/>
            <w:lang w:val="en-US"/>
          </w:rPr>
          <w:t>://</w:t>
        </w:r>
        <w:r w:rsidR="00115A90" w:rsidRPr="001A6D02">
          <w:rPr>
            <w:rStyle w:val="a4"/>
            <w:rFonts w:ascii="Arial" w:hAnsi="Arial" w:cs="Arial"/>
            <w:b/>
            <w:bCs/>
            <w:sz w:val="20"/>
            <w:szCs w:val="20"/>
            <w:lang w:val="en-US"/>
          </w:rPr>
          <w:t>russneft</w:t>
        </w:r>
        <w:r w:rsidR="00115A90" w:rsidRPr="00603780">
          <w:rPr>
            <w:rStyle w:val="a4"/>
            <w:rFonts w:ascii="Arial" w:hAnsi="Arial" w:cs="Arial"/>
            <w:b/>
            <w:bCs/>
            <w:sz w:val="20"/>
            <w:szCs w:val="20"/>
            <w:lang w:val="en-US"/>
          </w:rPr>
          <w:t>.</w:t>
        </w:r>
        <w:r w:rsidR="00115A90" w:rsidRPr="001A6D02">
          <w:rPr>
            <w:rStyle w:val="a4"/>
            <w:rFonts w:ascii="Arial" w:hAnsi="Arial" w:cs="Arial"/>
            <w:b/>
            <w:bCs/>
            <w:sz w:val="20"/>
            <w:szCs w:val="20"/>
            <w:lang w:val="en-US"/>
          </w:rPr>
          <w:t>ru</w:t>
        </w:r>
        <w:r w:rsidR="00115A90" w:rsidRPr="00603780">
          <w:rPr>
            <w:rStyle w:val="a4"/>
            <w:rFonts w:ascii="Arial" w:hAnsi="Arial" w:cs="Arial"/>
            <w:b/>
            <w:bCs/>
            <w:sz w:val="20"/>
            <w:szCs w:val="20"/>
            <w:lang w:val="en-US"/>
          </w:rPr>
          <w:t>/</w:t>
        </w:r>
        <w:r w:rsidR="00115A90" w:rsidRPr="001A6D02">
          <w:rPr>
            <w:rStyle w:val="a4"/>
            <w:rFonts w:ascii="Arial" w:hAnsi="Arial" w:cs="Arial"/>
            <w:b/>
            <w:bCs/>
            <w:sz w:val="20"/>
            <w:szCs w:val="20"/>
            <w:lang w:val="en-US"/>
          </w:rPr>
          <w:t>shareholders</w:t>
        </w:r>
        <w:r w:rsidR="00115A90" w:rsidRPr="00603780">
          <w:rPr>
            <w:rStyle w:val="a4"/>
            <w:rFonts w:ascii="Arial" w:hAnsi="Arial" w:cs="Arial"/>
            <w:b/>
            <w:bCs/>
            <w:sz w:val="20"/>
            <w:szCs w:val="20"/>
            <w:lang w:val="en-US"/>
          </w:rPr>
          <w:t>/</w:t>
        </w:r>
        <w:r w:rsidR="00115A90" w:rsidRPr="001A6D02">
          <w:rPr>
            <w:rStyle w:val="a4"/>
            <w:rFonts w:ascii="Arial" w:hAnsi="Arial" w:cs="Arial"/>
            <w:b/>
            <w:bCs/>
            <w:sz w:val="20"/>
            <w:szCs w:val="20"/>
            <w:lang w:val="en-US"/>
          </w:rPr>
          <w:t>financial</w:t>
        </w:r>
        <w:r w:rsidR="00115A90" w:rsidRPr="00603780">
          <w:rPr>
            <w:rStyle w:val="a4"/>
            <w:rFonts w:ascii="Arial" w:hAnsi="Arial" w:cs="Arial"/>
            <w:b/>
            <w:bCs/>
            <w:sz w:val="20"/>
            <w:szCs w:val="20"/>
            <w:lang w:val="en-US"/>
          </w:rPr>
          <w:t>_</w:t>
        </w:r>
        <w:r w:rsidR="00115A90" w:rsidRPr="001A6D02">
          <w:rPr>
            <w:rStyle w:val="a4"/>
            <w:rFonts w:ascii="Arial" w:hAnsi="Arial" w:cs="Arial"/>
            <w:b/>
            <w:bCs/>
            <w:sz w:val="20"/>
            <w:szCs w:val="20"/>
            <w:lang w:val="en-US"/>
          </w:rPr>
          <w:t>statements</w:t>
        </w:r>
        <w:r w:rsidR="00115A90" w:rsidRPr="00603780">
          <w:rPr>
            <w:rStyle w:val="a4"/>
            <w:rFonts w:ascii="Arial" w:hAnsi="Arial" w:cs="Arial"/>
            <w:b/>
            <w:bCs/>
            <w:sz w:val="20"/>
            <w:szCs w:val="20"/>
            <w:lang w:val="en-US"/>
          </w:rPr>
          <w:t>/</w:t>
        </w:r>
      </w:hyperlink>
      <w:r w:rsidR="00115A90" w:rsidRPr="0060378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tbl>
      <w:tblPr>
        <w:tblStyle w:val="a3"/>
        <w:tblpPr w:leftFromText="180" w:rightFromText="180" w:vertAnchor="text" w:horzAnchor="margin" w:tblpY="5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15A90" w:rsidRPr="00367F40" w:rsidTr="00115A90">
        <w:tc>
          <w:tcPr>
            <w:tcW w:w="5240" w:type="dxa"/>
          </w:tcPr>
          <w:p w:rsidR="00115A90" w:rsidRPr="00DE6618" w:rsidRDefault="00DE6618" w:rsidP="00115A90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/>
                <w:bCs/>
                <w:i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Cs w:val="24"/>
                <w:lang w:val="en-US" w:eastAsia="ru-RU"/>
              </w:rPr>
              <w:t>For Mass Media</w:t>
            </w:r>
          </w:p>
          <w:p w:rsidR="00115A90" w:rsidRPr="00603780" w:rsidRDefault="00115A90" w:rsidP="00115A90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</w:pPr>
            <w:r w:rsidRPr="00603780"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+7 (495) 411</w:t>
            </w:r>
            <w:r w:rsidR="00522A85" w:rsidRPr="00603780"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-</w:t>
            </w:r>
            <w:r w:rsidRPr="00603780"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 xml:space="preserve"> 63</w:t>
            </w:r>
            <w:r w:rsidR="00522A85" w:rsidRPr="00603780"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-</w:t>
            </w:r>
            <w:r w:rsidRPr="00603780"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 xml:space="preserve"> 24  </w:t>
            </w:r>
          </w:p>
          <w:p w:rsidR="00115A90" w:rsidRPr="00603780" w:rsidRDefault="00367F40" w:rsidP="00115A90">
            <w:pPr>
              <w:spacing w:after="120" w:line="240" w:lineRule="atLeast"/>
              <w:ind w:right="-143"/>
              <w:rPr>
                <w:rFonts w:ascii="Arial" w:hAnsi="Arial" w:cs="Arial"/>
                <w:i/>
                <w:szCs w:val="28"/>
                <w:lang w:val="en-US"/>
              </w:rPr>
            </w:pPr>
            <w:hyperlink r:id="rId10" w:history="1">
              <w:r w:rsidR="00115A90" w:rsidRPr="00A6369F">
                <w:rPr>
                  <w:rStyle w:val="a4"/>
                  <w:rFonts w:ascii="Arial" w:eastAsia="Times New Roman" w:hAnsi="Arial" w:cs="Arial"/>
                  <w:bCs/>
                  <w:i/>
                  <w:szCs w:val="24"/>
                  <w:lang w:val="en-US" w:eastAsia="ru-RU"/>
                </w:rPr>
                <w:t>pr</w:t>
              </w:r>
              <w:r w:rsidR="00115A90" w:rsidRPr="00603780">
                <w:rPr>
                  <w:rStyle w:val="a4"/>
                  <w:rFonts w:ascii="Arial" w:eastAsia="Times New Roman" w:hAnsi="Arial" w:cs="Arial"/>
                  <w:bCs/>
                  <w:i/>
                  <w:szCs w:val="24"/>
                  <w:lang w:val="en-US" w:eastAsia="ru-RU"/>
                </w:rPr>
                <w:t>@</w:t>
              </w:r>
              <w:r w:rsidR="00115A90" w:rsidRPr="00A6369F">
                <w:rPr>
                  <w:rStyle w:val="a4"/>
                  <w:rFonts w:ascii="Arial" w:eastAsia="Times New Roman" w:hAnsi="Arial" w:cs="Arial"/>
                  <w:bCs/>
                  <w:i/>
                  <w:szCs w:val="24"/>
                  <w:lang w:val="en-US" w:eastAsia="ru-RU"/>
                </w:rPr>
                <w:t>russneft</w:t>
              </w:r>
              <w:r w:rsidR="00115A90" w:rsidRPr="00603780">
                <w:rPr>
                  <w:rStyle w:val="a4"/>
                  <w:rFonts w:ascii="Arial" w:eastAsia="Times New Roman" w:hAnsi="Arial" w:cs="Arial"/>
                  <w:bCs/>
                  <w:i/>
                  <w:szCs w:val="24"/>
                  <w:lang w:val="en-US" w:eastAsia="ru-RU"/>
                </w:rPr>
                <w:t>.</w:t>
              </w:r>
              <w:r w:rsidR="00115A90" w:rsidRPr="00A6369F">
                <w:rPr>
                  <w:rStyle w:val="a4"/>
                  <w:rFonts w:ascii="Arial" w:eastAsia="Times New Roman" w:hAnsi="Arial" w:cs="Arial"/>
                  <w:bCs/>
                  <w:i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4105" w:type="dxa"/>
          </w:tcPr>
          <w:p w:rsidR="00115A90" w:rsidRPr="00DE6618" w:rsidRDefault="00DE6618" w:rsidP="00115A90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/>
                <w:bCs/>
                <w:i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Cs w:val="24"/>
                <w:lang w:val="en-US" w:eastAsia="ru-RU"/>
              </w:rPr>
              <w:t>For Investors</w:t>
            </w:r>
          </w:p>
          <w:p w:rsidR="00115A90" w:rsidRPr="00603780" w:rsidRDefault="00115A90" w:rsidP="00115A90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</w:pPr>
            <w:r w:rsidRPr="00603780"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 xml:space="preserve">+7 (495) 411-63-09  </w:t>
            </w:r>
          </w:p>
          <w:p w:rsidR="00115A90" w:rsidRPr="00603780" w:rsidRDefault="00367F40" w:rsidP="00115A90">
            <w:pPr>
              <w:spacing w:after="120" w:line="240" w:lineRule="atLeast"/>
              <w:ind w:right="-143"/>
              <w:rPr>
                <w:rFonts w:ascii="Arial" w:hAnsi="Arial" w:cs="Arial"/>
                <w:i/>
                <w:szCs w:val="28"/>
                <w:lang w:val="en-US"/>
              </w:rPr>
            </w:pPr>
            <w:hyperlink r:id="rId11" w:history="1">
              <w:r w:rsidR="00115A90" w:rsidRPr="00941A06">
                <w:rPr>
                  <w:rStyle w:val="a4"/>
                  <w:rFonts w:ascii="Arial" w:eastAsia="Times New Roman" w:hAnsi="Arial" w:cs="Arial"/>
                  <w:bCs/>
                  <w:i/>
                  <w:szCs w:val="24"/>
                  <w:lang w:val="en-US" w:eastAsia="ru-RU"/>
                </w:rPr>
                <w:t>ir</w:t>
              </w:r>
              <w:r w:rsidR="00115A90" w:rsidRPr="00603780">
                <w:rPr>
                  <w:rStyle w:val="a4"/>
                  <w:rFonts w:ascii="Arial" w:eastAsia="Times New Roman" w:hAnsi="Arial" w:cs="Arial"/>
                  <w:bCs/>
                  <w:i/>
                  <w:szCs w:val="24"/>
                  <w:lang w:val="en-US" w:eastAsia="ru-RU"/>
                </w:rPr>
                <w:t>@</w:t>
              </w:r>
              <w:r w:rsidR="00115A90" w:rsidRPr="00941A06">
                <w:rPr>
                  <w:rStyle w:val="a4"/>
                  <w:rFonts w:ascii="Arial" w:eastAsia="Times New Roman" w:hAnsi="Arial" w:cs="Arial"/>
                  <w:bCs/>
                  <w:i/>
                  <w:szCs w:val="24"/>
                  <w:lang w:val="en-US" w:eastAsia="ru-RU"/>
                </w:rPr>
                <w:t>russneft</w:t>
              </w:r>
              <w:r w:rsidR="00115A90" w:rsidRPr="00603780">
                <w:rPr>
                  <w:rStyle w:val="a4"/>
                  <w:rFonts w:ascii="Arial" w:eastAsia="Times New Roman" w:hAnsi="Arial" w:cs="Arial"/>
                  <w:bCs/>
                  <w:i/>
                  <w:szCs w:val="24"/>
                  <w:lang w:val="en-US" w:eastAsia="ru-RU"/>
                </w:rPr>
                <w:t>.</w:t>
              </w:r>
              <w:r w:rsidR="00115A90" w:rsidRPr="00941A06">
                <w:rPr>
                  <w:rStyle w:val="a4"/>
                  <w:rFonts w:ascii="Arial" w:eastAsia="Times New Roman" w:hAnsi="Arial" w:cs="Arial"/>
                  <w:bCs/>
                  <w:i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115A90" w:rsidRPr="00603780" w:rsidRDefault="00115A90">
      <w:pPr>
        <w:rPr>
          <w:lang w:val="en-US"/>
        </w:rPr>
      </w:pPr>
    </w:p>
    <w:p w:rsidR="00A134E4" w:rsidRDefault="00DE6618" w:rsidP="00A134E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8"/>
          <w:lang w:val="en-US"/>
        </w:rPr>
      </w:pPr>
      <w:r>
        <w:rPr>
          <w:rFonts w:ascii="Arial" w:hAnsi="Arial" w:cs="Arial"/>
          <w:b/>
          <w:i/>
          <w:sz w:val="20"/>
          <w:szCs w:val="28"/>
          <w:lang w:val="en-US"/>
        </w:rPr>
        <w:t>About the Company</w:t>
      </w:r>
      <w:r w:rsidR="00A134E4" w:rsidRPr="00DE6618">
        <w:rPr>
          <w:rFonts w:ascii="Arial" w:hAnsi="Arial" w:cs="Arial"/>
          <w:b/>
          <w:i/>
          <w:sz w:val="20"/>
          <w:szCs w:val="28"/>
          <w:lang w:val="en-US"/>
        </w:rPr>
        <w:t>:</w:t>
      </w:r>
    </w:p>
    <w:p w:rsidR="00DE6618" w:rsidRPr="00DE6618" w:rsidRDefault="00DE6618" w:rsidP="00A134E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8"/>
          <w:lang w:val="en-US"/>
        </w:rPr>
      </w:pPr>
    </w:p>
    <w:p w:rsidR="00DE6618" w:rsidRPr="00DE6618" w:rsidRDefault="00DE6618" w:rsidP="00DE6618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  <w:r w:rsidRPr="00DE6618">
        <w:rPr>
          <w:rFonts w:ascii="Arial" w:hAnsi="Arial" w:cs="Arial"/>
          <w:i/>
          <w:sz w:val="20"/>
          <w:szCs w:val="28"/>
          <w:lang w:val="en-US"/>
        </w:rPr>
        <w:t>PJSC “</w:t>
      </w:r>
      <w:proofErr w:type="spellStart"/>
      <w:r w:rsidRPr="00DE6618">
        <w:rPr>
          <w:rFonts w:ascii="Arial" w:hAnsi="Arial" w:cs="Arial"/>
          <w:i/>
          <w:sz w:val="20"/>
          <w:szCs w:val="28"/>
          <w:lang w:val="en-US"/>
        </w:rPr>
        <w:t>RussNeft</w:t>
      </w:r>
      <w:proofErr w:type="spellEnd"/>
      <w:r w:rsidRPr="00DE6618">
        <w:rPr>
          <w:rFonts w:ascii="Arial" w:hAnsi="Arial" w:cs="Arial"/>
          <w:i/>
          <w:sz w:val="20"/>
          <w:szCs w:val="28"/>
          <w:lang w:val="en-US"/>
        </w:rPr>
        <w:t xml:space="preserve">” ranks among the </w:t>
      </w:r>
      <w:r w:rsidR="0018041E">
        <w:rPr>
          <w:rFonts w:ascii="Arial" w:hAnsi="Arial" w:cs="Arial"/>
          <w:i/>
          <w:sz w:val="20"/>
          <w:szCs w:val="28"/>
          <w:lang w:val="en-US"/>
        </w:rPr>
        <w:t xml:space="preserve">Top 10 </w:t>
      </w:r>
      <w:r w:rsidRPr="00DE6618">
        <w:rPr>
          <w:rFonts w:ascii="Arial" w:hAnsi="Arial" w:cs="Arial"/>
          <w:i/>
          <w:sz w:val="20"/>
          <w:szCs w:val="28"/>
          <w:lang w:val="en-US"/>
        </w:rPr>
        <w:t>largest oil companies by crude oil production in Russia.</w:t>
      </w:r>
    </w:p>
    <w:p w:rsidR="00DE6618" w:rsidRPr="00603780" w:rsidRDefault="00DE6618" w:rsidP="00DE6618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  <w:r w:rsidRPr="00603780">
        <w:rPr>
          <w:rFonts w:ascii="Arial" w:hAnsi="Arial" w:cs="Arial"/>
          <w:i/>
          <w:sz w:val="20"/>
          <w:szCs w:val="28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DE6618" w:rsidRDefault="00DE6618" w:rsidP="00DE6618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  <w:r w:rsidRPr="00670BA2">
        <w:rPr>
          <w:rFonts w:ascii="Arial" w:hAnsi="Arial" w:cs="Arial"/>
          <w:i/>
          <w:sz w:val="20"/>
          <w:szCs w:val="28"/>
          <w:lang w:val="en-US"/>
        </w:rPr>
        <w:t xml:space="preserve">2P reserves of the Company exceed 200 million tons (SPE). </w:t>
      </w:r>
      <w:r w:rsidRPr="00603780">
        <w:rPr>
          <w:rFonts w:ascii="Arial" w:hAnsi="Arial" w:cs="Arial"/>
          <w:i/>
          <w:sz w:val="20"/>
          <w:szCs w:val="28"/>
          <w:lang w:val="en-US"/>
        </w:rPr>
        <w:t>The number of the Company’s personnel is around 10,000.</w:t>
      </w:r>
    </w:p>
    <w:p w:rsidR="00DE6618" w:rsidRPr="00DE6618" w:rsidRDefault="0077582B" w:rsidP="00DE6618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  <w:r>
        <w:rPr>
          <w:rFonts w:ascii="Arial" w:hAnsi="Arial" w:cs="Arial"/>
          <w:i/>
          <w:sz w:val="20"/>
          <w:szCs w:val="28"/>
          <w:lang w:val="en-US"/>
        </w:rPr>
        <w:t>.</w:t>
      </w:r>
    </w:p>
    <w:p w:rsidR="00DE6618" w:rsidRDefault="00DE6618" w:rsidP="00A134E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DE6618" w:rsidRDefault="00DE6618" w:rsidP="00A134E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sectPr w:rsidR="00DE661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7F" w:rsidRDefault="006F357F" w:rsidP="00DE1826">
      <w:pPr>
        <w:spacing w:after="0" w:line="240" w:lineRule="auto"/>
      </w:pPr>
      <w:r>
        <w:separator/>
      </w:r>
    </w:p>
  </w:endnote>
  <w:endnote w:type="continuationSeparator" w:id="0">
    <w:p w:rsidR="006F357F" w:rsidRDefault="006F357F" w:rsidP="00DE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-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7F" w:rsidRDefault="006F357F" w:rsidP="00DE1826">
      <w:pPr>
        <w:spacing w:after="0" w:line="240" w:lineRule="auto"/>
      </w:pPr>
      <w:r>
        <w:separator/>
      </w:r>
    </w:p>
  </w:footnote>
  <w:footnote w:type="continuationSeparator" w:id="0">
    <w:p w:rsidR="006F357F" w:rsidRDefault="006F357F" w:rsidP="00DE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7F" w:rsidRPr="00B423AF" w:rsidRDefault="006F357F" w:rsidP="00B423AF">
    <w:pPr>
      <w:pStyle w:val="a9"/>
      <w:tabs>
        <w:tab w:val="left" w:pos="9355"/>
      </w:tabs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D6E"/>
    <w:multiLevelType w:val="hybridMultilevel"/>
    <w:tmpl w:val="3C588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0C96"/>
    <w:multiLevelType w:val="hybridMultilevel"/>
    <w:tmpl w:val="050C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6871"/>
    <w:multiLevelType w:val="hybridMultilevel"/>
    <w:tmpl w:val="1A12A738"/>
    <w:lvl w:ilvl="0" w:tplc="7922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63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E6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62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C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C6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4C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47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6B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2C02DA"/>
    <w:multiLevelType w:val="hybridMultilevel"/>
    <w:tmpl w:val="2786CB6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52C47C31"/>
    <w:multiLevelType w:val="hybridMultilevel"/>
    <w:tmpl w:val="6FD6F466"/>
    <w:lvl w:ilvl="0" w:tplc="726622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EBA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EF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AE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061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83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43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A9D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6D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23BC0"/>
    <w:multiLevelType w:val="hybridMultilevel"/>
    <w:tmpl w:val="CA7C9CC2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5D57291D"/>
    <w:multiLevelType w:val="hybridMultilevel"/>
    <w:tmpl w:val="E39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44991"/>
    <w:multiLevelType w:val="hybridMultilevel"/>
    <w:tmpl w:val="EF40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87FD0"/>
    <w:multiLevelType w:val="hybridMultilevel"/>
    <w:tmpl w:val="5B4E16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6A2D0C91"/>
    <w:multiLevelType w:val="hybridMultilevel"/>
    <w:tmpl w:val="B068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27E50"/>
    <w:multiLevelType w:val="hybridMultilevel"/>
    <w:tmpl w:val="EF3C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10B5E"/>
    <w:multiLevelType w:val="hybridMultilevel"/>
    <w:tmpl w:val="7FF6A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FA"/>
    <w:rsid w:val="00000EB3"/>
    <w:rsid w:val="00003A20"/>
    <w:rsid w:val="000100E0"/>
    <w:rsid w:val="00033EDA"/>
    <w:rsid w:val="000360E3"/>
    <w:rsid w:val="000377C5"/>
    <w:rsid w:val="00051F11"/>
    <w:rsid w:val="0007621A"/>
    <w:rsid w:val="00077A6F"/>
    <w:rsid w:val="00082BFA"/>
    <w:rsid w:val="00093A13"/>
    <w:rsid w:val="00093D7F"/>
    <w:rsid w:val="000E40F4"/>
    <w:rsid w:val="000E6196"/>
    <w:rsid w:val="00102E0E"/>
    <w:rsid w:val="00111DD9"/>
    <w:rsid w:val="00113572"/>
    <w:rsid w:val="00115A90"/>
    <w:rsid w:val="00130AC7"/>
    <w:rsid w:val="001378E3"/>
    <w:rsid w:val="001401A5"/>
    <w:rsid w:val="00151C6A"/>
    <w:rsid w:val="001532E2"/>
    <w:rsid w:val="001541F6"/>
    <w:rsid w:val="00155D5B"/>
    <w:rsid w:val="00157349"/>
    <w:rsid w:val="00157FA6"/>
    <w:rsid w:val="001740C9"/>
    <w:rsid w:val="0017555D"/>
    <w:rsid w:val="0018041E"/>
    <w:rsid w:val="00184054"/>
    <w:rsid w:val="001A7D39"/>
    <w:rsid w:val="001D1034"/>
    <w:rsid w:val="001E251F"/>
    <w:rsid w:val="002013E8"/>
    <w:rsid w:val="00202185"/>
    <w:rsid w:val="00220290"/>
    <w:rsid w:val="00222510"/>
    <w:rsid w:val="00230EAA"/>
    <w:rsid w:val="002376E9"/>
    <w:rsid w:val="00240616"/>
    <w:rsid w:val="00260E3B"/>
    <w:rsid w:val="002672BE"/>
    <w:rsid w:val="0027154B"/>
    <w:rsid w:val="00271BFD"/>
    <w:rsid w:val="002916D1"/>
    <w:rsid w:val="002948F9"/>
    <w:rsid w:val="002A7E67"/>
    <w:rsid w:val="002C1E3A"/>
    <w:rsid w:val="002C6017"/>
    <w:rsid w:val="002E0058"/>
    <w:rsid w:val="002F5E7D"/>
    <w:rsid w:val="00306698"/>
    <w:rsid w:val="00316276"/>
    <w:rsid w:val="0034120B"/>
    <w:rsid w:val="00344929"/>
    <w:rsid w:val="00346E91"/>
    <w:rsid w:val="00364E5F"/>
    <w:rsid w:val="003674CD"/>
    <w:rsid w:val="00367F40"/>
    <w:rsid w:val="003821CC"/>
    <w:rsid w:val="00386F73"/>
    <w:rsid w:val="003A4603"/>
    <w:rsid w:val="003A47CA"/>
    <w:rsid w:val="003A507D"/>
    <w:rsid w:val="003A78D0"/>
    <w:rsid w:val="003A7C3D"/>
    <w:rsid w:val="003B3F8B"/>
    <w:rsid w:val="003B4470"/>
    <w:rsid w:val="003B63DF"/>
    <w:rsid w:val="003B76F1"/>
    <w:rsid w:val="003C07E1"/>
    <w:rsid w:val="003D0D0D"/>
    <w:rsid w:val="003D508C"/>
    <w:rsid w:val="003D772F"/>
    <w:rsid w:val="003E00E3"/>
    <w:rsid w:val="003E34F7"/>
    <w:rsid w:val="003E563D"/>
    <w:rsid w:val="004076A8"/>
    <w:rsid w:val="00422AE4"/>
    <w:rsid w:val="004408C5"/>
    <w:rsid w:val="004465C6"/>
    <w:rsid w:val="00451B57"/>
    <w:rsid w:val="004844C1"/>
    <w:rsid w:val="00490A98"/>
    <w:rsid w:val="004C10A7"/>
    <w:rsid w:val="004C6C80"/>
    <w:rsid w:val="004E297A"/>
    <w:rsid w:val="004E2A67"/>
    <w:rsid w:val="004F47F2"/>
    <w:rsid w:val="004F7E03"/>
    <w:rsid w:val="00514DE0"/>
    <w:rsid w:val="00522A85"/>
    <w:rsid w:val="00525326"/>
    <w:rsid w:val="00530FE4"/>
    <w:rsid w:val="0054532C"/>
    <w:rsid w:val="00550C98"/>
    <w:rsid w:val="00585C4C"/>
    <w:rsid w:val="00591571"/>
    <w:rsid w:val="005A5C8D"/>
    <w:rsid w:val="005B2775"/>
    <w:rsid w:val="005D1D36"/>
    <w:rsid w:val="005D4C97"/>
    <w:rsid w:val="005E480B"/>
    <w:rsid w:val="005F0603"/>
    <w:rsid w:val="00600AF2"/>
    <w:rsid w:val="00603780"/>
    <w:rsid w:val="00607829"/>
    <w:rsid w:val="00610FEF"/>
    <w:rsid w:val="00634114"/>
    <w:rsid w:val="0063425F"/>
    <w:rsid w:val="00635A02"/>
    <w:rsid w:val="00637BF0"/>
    <w:rsid w:val="006439DA"/>
    <w:rsid w:val="006520EA"/>
    <w:rsid w:val="0065532E"/>
    <w:rsid w:val="006614EE"/>
    <w:rsid w:val="00665FB6"/>
    <w:rsid w:val="00670BA2"/>
    <w:rsid w:val="00675FF3"/>
    <w:rsid w:val="006877AD"/>
    <w:rsid w:val="006A368E"/>
    <w:rsid w:val="006A690A"/>
    <w:rsid w:val="006B70E0"/>
    <w:rsid w:val="006C1C7F"/>
    <w:rsid w:val="006E23A6"/>
    <w:rsid w:val="006E36E3"/>
    <w:rsid w:val="006F357F"/>
    <w:rsid w:val="006F6F27"/>
    <w:rsid w:val="00715E2B"/>
    <w:rsid w:val="007263B0"/>
    <w:rsid w:val="00734AD1"/>
    <w:rsid w:val="00735100"/>
    <w:rsid w:val="00746898"/>
    <w:rsid w:val="0075024F"/>
    <w:rsid w:val="0075545D"/>
    <w:rsid w:val="00775050"/>
    <w:rsid w:val="0077582B"/>
    <w:rsid w:val="00796512"/>
    <w:rsid w:val="007A2040"/>
    <w:rsid w:val="007A4BFE"/>
    <w:rsid w:val="007B6D99"/>
    <w:rsid w:val="007C0192"/>
    <w:rsid w:val="007C3821"/>
    <w:rsid w:val="007C6F1A"/>
    <w:rsid w:val="007E6393"/>
    <w:rsid w:val="007F1210"/>
    <w:rsid w:val="007F50B1"/>
    <w:rsid w:val="00801C3B"/>
    <w:rsid w:val="00802323"/>
    <w:rsid w:val="00802874"/>
    <w:rsid w:val="00813E93"/>
    <w:rsid w:val="00841E67"/>
    <w:rsid w:val="00843D92"/>
    <w:rsid w:val="0086687E"/>
    <w:rsid w:val="008679B6"/>
    <w:rsid w:val="00881FC0"/>
    <w:rsid w:val="0088236F"/>
    <w:rsid w:val="0088652B"/>
    <w:rsid w:val="00887FA6"/>
    <w:rsid w:val="0089724C"/>
    <w:rsid w:val="008B3D51"/>
    <w:rsid w:val="008D762A"/>
    <w:rsid w:val="008E28D1"/>
    <w:rsid w:val="008E3780"/>
    <w:rsid w:val="009015F6"/>
    <w:rsid w:val="00907AF5"/>
    <w:rsid w:val="009104DD"/>
    <w:rsid w:val="00926CEB"/>
    <w:rsid w:val="00941A06"/>
    <w:rsid w:val="00942498"/>
    <w:rsid w:val="009725AF"/>
    <w:rsid w:val="009745F8"/>
    <w:rsid w:val="0097622D"/>
    <w:rsid w:val="00985345"/>
    <w:rsid w:val="00985C85"/>
    <w:rsid w:val="009A77D6"/>
    <w:rsid w:val="009B47AA"/>
    <w:rsid w:val="009B6B8C"/>
    <w:rsid w:val="009C0AF0"/>
    <w:rsid w:val="009C41E8"/>
    <w:rsid w:val="009C534C"/>
    <w:rsid w:val="009E2DF3"/>
    <w:rsid w:val="009E32E7"/>
    <w:rsid w:val="009F546C"/>
    <w:rsid w:val="00A11B8A"/>
    <w:rsid w:val="00A134E4"/>
    <w:rsid w:val="00A21C33"/>
    <w:rsid w:val="00A249DC"/>
    <w:rsid w:val="00A25795"/>
    <w:rsid w:val="00A35293"/>
    <w:rsid w:val="00A355A7"/>
    <w:rsid w:val="00A37437"/>
    <w:rsid w:val="00A5191F"/>
    <w:rsid w:val="00A60FB6"/>
    <w:rsid w:val="00A7418E"/>
    <w:rsid w:val="00A85C90"/>
    <w:rsid w:val="00A97712"/>
    <w:rsid w:val="00AB1833"/>
    <w:rsid w:val="00AD62F9"/>
    <w:rsid w:val="00AE1E3D"/>
    <w:rsid w:val="00AE65FA"/>
    <w:rsid w:val="00AF5BEB"/>
    <w:rsid w:val="00B01B35"/>
    <w:rsid w:val="00B32F68"/>
    <w:rsid w:val="00B414BA"/>
    <w:rsid w:val="00B423AF"/>
    <w:rsid w:val="00B55AA0"/>
    <w:rsid w:val="00B653FE"/>
    <w:rsid w:val="00B75739"/>
    <w:rsid w:val="00B82193"/>
    <w:rsid w:val="00BB17D0"/>
    <w:rsid w:val="00BB39BE"/>
    <w:rsid w:val="00BE242E"/>
    <w:rsid w:val="00BE34F9"/>
    <w:rsid w:val="00C06B5D"/>
    <w:rsid w:val="00C1050C"/>
    <w:rsid w:val="00C25F86"/>
    <w:rsid w:val="00C3684C"/>
    <w:rsid w:val="00C47E60"/>
    <w:rsid w:val="00C56529"/>
    <w:rsid w:val="00C63C4E"/>
    <w:rsid w:val="00C71D60"/>
    <w:rsid w:val="00C90F60"/>
    <w:rsid w:val="00C938DA"/>
    <w:rsid w:val="00CA0B82"/>
    <w:rsid w:val="00CA13A5"/>
    <w:rsid w:val="00CC3155"/>
    <w:rsid w:val="00CD155B"/>
    <w:rsid w:val="00D06BC7"/>
    <w:rsid w:val="00D12832"/>
    <w:rsid w:val="00D2685E"/>
    <w:rsid w:val="00D26FAE"/>
    <w:rsid w:val="00D375A7"/>
    <w:rsid w:val="00D40CF5"/>
    <w:rsid w:val="00D44412"/>
    <w:rsid w:val="00D50654"/>
    <w:rsid w:val="00D76A21"/>
    <w:rsid w:val="00D942DB"/>
    <w:rsid w:val="00D9499E"/>
    <w:rsid w:val="00DA171E"/>
    <w:rsid w:val="00DA2028"/>
    <w:rsid w:val="00DA5309"/>
    <w:rsid w:val="00DB059E"/>
    <w:rsid w:val="00DB52B5"/>
    <w:rsid w:val="00DB58B8"/>
    <w:rsid w:val="00DC3005"/>
    <w:rsid w:val="00DC6AD4"/>
    <w:rsid w:val="00DD2009"/>
    <w:rsid w:val="00DD7363"/>
    <w:rsid w:val="00DE1826"/>
    <w:rsid w:val="00DE6618"/>
    <w:rsid w:val="00DF1B11"/>
    <w:rsid w:val="00E0209C"/>
    <w:rsid w:val="00E15FD3"/>
    <w:rsid w:val="00E23EB6"/>
    <w:rsid w:val="00E33CAD"/>
    <w:rsid w:val="00E3606E"/>
    <w:rsid w:val="00E36581"/>
    <w:rsid w:val="00E428F6"/>
    <w:rsid w:val="00E4587E"/>
    <w:rsid w:val="00E47D22"/>
    <w:rsid w:val="00E52F2C"/>
    <w:rsid w:val="00E55515"/>
    <w:rsid w:val="00E64F96"/>
    <w:rsid w:val="00E7102C"/>
    <w:rsid w:val="00EB32B9"/>
    <w:rsid w:val="00EC56A4"/>
    <w:rsid w:val="00ED2CF3"/>
    <w:rsid w:val="00ED5D48"/>
    <w:rsid w:val="00EF2EB7"/>
    <w:rsid w:val="00F063B8"/>
    <w:rsid w:val="00F07260"/>
    <w:rsid w:val="00F3239F"/>
    <w:rsid w:val="00F34ACA"/>
    <w:rsid w:val="00F42BB4"/>
    <w:rsid w:val="00F50B67"/>
    <w:rsid w:val="00F539E3"/>
    <w:rsid w:val="00FB493B"/>
    <w:rsid w:val="00FB69DC"/>
    <w:rsid w:val="00FD0347"/>
    <w:rsid w:val="00FD57B8"/>
    <w:rsid w:val="00FD7713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4F4C"/>
  <w15:docId w15:val="{D6741D8B-3728-4F1F-AA0C-3129A5DE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AE65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">
    <w:name w:val="Таблица простая 31"/>
    <w:basedOn w:val="a1"/>
    <w:uiPriority w:val="43"/>
    <w:rsid w:val="00AE65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4">
    <w:name w:val="Hyperlink"/>
    <w:basedOn w:val="a0"/>
    <w:uiPriority w:val="99"/>
    <w:unhideWhenUsed/>
    <w:rsid w:val="00941A0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E182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E182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E1826"/>
    <w:rPr>
      <w:vertAlign w:val="superscript"/>
    </w:rPr>
  </w:style>
  <w:style w:type="paragraph" w:styleId="a8">
    <w:name w:val="List Paragraph"/>
    <w:basedOn w:val="a"/>
    <w:uiPriority w:val="34"/>
    <w:qFormat/>
    <w:rsid w:val="000E6196"/>
    <w:pPr>
      <w:ind w:left="720"/>
      <w:contextualSpacing/>
    </w:pPr>
  </w:style>
  <w:style w:type="paragraph" w:customStyle="1" w:styleId="Default">
    <w:name w:val="Default"/>
    <w:rsid w:val="00ED5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4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3AF"/>
  </w:style>
  <w:style w:type="paragraph" w:styleId="ab">
    <w:name w:val="footer"/>
    <w:basedOn w:val="a"/>
    <w:link w:val="ac"/>
    <w:uiPriority w:val="99"/>
    <w:unhideWhenUsed/>
    <w:rsid w:val="00B4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23AF"/>
  </w:style>
  <w:style w:type="paragraph" w:styleId="ad">
    <w:name w:val="Balloon Text"/>
    <w:basedOn w:val="a"/>
    <w:link w:val="ae"/>
    <w:uiPriority w:val="99"/>
    <w:semiHidden/>
    <w:unhideWhenUsed/>
    <w:rsid w:val="0000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A20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5191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19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191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191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191F"/>
    <w:rPr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9015F6"/>
    <w:rPr>
      <w:rFonts w:ascii="OpenSans-Bold" w:hAnsi="OpenSans-Bold" w:hint="default"/>
      <w:b w:val="0"/>
      <w:bCs w:val="0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193">
          <w:marLeft w:val="446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522">
          <w:marLeft w:val="27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@rus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@rus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neft.ru/shareholders/financial_state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CED0-1296-4717-9B1F-1199821D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Ретивова Анна Валерьевна</dc:creator>
  <cp:lastModifiedBy>Татевосова Мария Рудольфовна</cp:lastModifiedBy>
  <cp:revision>2</cp:revision>
  <cp:lastPrinted>2019-03-25T15:17:00Z</cp:lastPrinted>
  <dcterms:created xsi:type="dcterms:W3CDTF">2019-05-08T12:07:00Z</dcterms:created>
  <dcterms:modified xsi:type="dcterms:W3CDTF">2019-05-08T12:07:00Z</dcterms:modified>
</cp:coreProperties>
</file>