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9D" w:rsidRPr="00E0029D" w:rsidRDefault="00E0029D" w:rsidP="00E0029D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bookmarkStart w:id="0" w:name="_GoBack"/>
      <w:bookmarkEnd w:id="0"/>
      <w:r w:rsidRPr="00E0029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Statement </w:t>
      </w:r>
    </w:p>
    <w:p w:rsidR="00E0029D" w:rsidRDefault="00E0029D" w:rsidP="00E0029D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“</w:t>
      </w:r>
      <w:r w:rsidRPr="00E0029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On holding the </w:t>
      </w:r>
      <w:r w:rsidR="009E732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general meeting of the Issuer’s participants</w:t>
      </w:r>
      <w:r w:rsidRPr="00E0029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(shareholders) </w:t>
      </w:r>
    </w:p>
    <w:p w:rsidR="00E0029D" w:rsidRPr="00E0029D" w:rsidRDefault="00E0029D" w:rsidP="00E0029D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gramStart"/>
      <w:r w:rsidRPr="00E0029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and</w:t>
      </w:r>
      <w:proofErr w:type="gramEnd"/>
      <w:r w:rsidRPr="00E0029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the resolutions adopted at the meeting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”</w:t>
      </w:r>
    </w:p>
    <w:p w:rsidR="00AE6075" w:rsidRPr="00E0029D" w:rsidRDefault="00AE6075" w:rsidP="00AE2B32">
      <w:pPr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tbl>
      <w:tblPr>
        <w:tblW w:w="1006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4394"/>
      </w:tblGrid>
      <w:tr w:rsidR="00B730E9" w:rsidRPr="00E0029D" w:rsidTr="00AE2B32">
        <w:tc>
          <w:tcPr>
            <w:tcW w:w="10064" w:type="dxa"/>
            <w:gridSpan w:val="2"/>
          </w:tcPr>
          <w:p w:rsidR="00B730E9" w:rsidRPr="00E0029D" w:rsidRDefault="00B730E9" w:rsidP="00E002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29D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="00E0029D" w:rsidRPr="00E0029D">
              <w:rPr>
                <w:rFonts w:ascii="Times New Roman" w:eastAsia="Times New Roman" w:hAnsi="Times New Roman" w:cs="Times New Roman"/>
                <w:lang w:eastAsia="ru-RU"/>
              </w:rPr>
              <w:t>General</w:t>
            </w:r>
            <w:proofErr w:type="spellEnd"/>
            <w:r w:rsidR="00E0029D" w:rsidRPr="00E002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0029D" w:rsidRPr="00E0029D">
              <w:rPr>
                <w:rFonts w:ascii="Times New Roman" w:eastAsia="Times New Roman" w:hAnsi="Times New Roman" w:cs="Times New Roman"/>
                <w:lang w:eastAsia="ru-RU"/>
              </w:rPr>
              <w:t>information</w:t>
            </w:r>
            <w:proofErr w:type="spellEnd"/>
          </w:p>
        </w:tc>
      </w:tr>
      <w:tr w:rsidR="00E0029D" w:rsidRPr="009E7321" w:rsidTr="00E0029D">
        <w:tc>
          <w:tcPr>
            <w:tcW w:w="5670" w:type="dxa"/>
          </w:tcPr>
          <w:p w:rsidR="00E0029D" w:rsidRPr="009E7321" w:rsidRDefault="00E0029D" w:rsidP="00E0029D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en-US"/>
              </w:rPr>
            </w:pPr>
            <w:r w:rsidRPr="009E7321">
              <w:rPr>
                <w:rFonts w:ascii="Times New Roman" w:hAnsi="Times New Roman" w:cs="Times New Roman"/>
                <w:lang w:val="en-US"/>
              </w:rPr>
              <w:t>1.1. Full legal name of issuer</w:t>
            </w:r>
          </w:p>
        </w:tc>
        <w:tc>
          <w:tcPr>
            <w:tcW w:w="4394" w:type="dxa"/>
            <w:vAlign w:val="center"/>
          </w:tcPr>
          <w:p w:rsidR="00E0029D" w:rsidRPr="009E7321" w:rsidRDefault="00E0029D" w:rsidP="00E0029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321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Public Joint Stock Company "RussNeft"</w:t>
            </w:r>
          </w:p>
        </w:tc>
      </w:tr>
      <w:tr w:rsidR="00E0029D" w:rsidRPr="009E7321" w:rsidTr="00E0029D">
        <w:tc>
          <w:tcPr>
            <w:tcW w:w="5670" w:type="dxa"/>
          </w:tcPr>
          <w:p w:rsidR="00E0029D" w:rsidRPr="009E7321" w:rsidRDefault="00E0029D" w:rsidP="009E732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9E7321">
              <w:rPr>
                <w:rFonts w:ascii="Times New Roman" w:hAnsi="Times New Roman" w:cs="Times New Roman"/>
              </w:rPr>
              <w:t>1.</w:t>
            </w:r>
            <w:r w:rsidR="009E7321" w:rsidRPr="009E7321">
              <w:rPr>
                <w:rFonts w:ascii="Times New Roman" w:hAnsi="Times New Roman" w:cs="Times New Roman"/>
                <w:lang w:val="en-US"/>
              </w:rPr>
              <w:t>2</w:t>
            </w:r>
            <w:r w:rsidRPr="009E732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E7321">
              <w:rPr>
                <w:rFonts w:ascii="Times New Roman" w:hAnsi="Times New Roman" w:cs="Times New Roman"/>
              </w:rPr>
              <w:t>Address</w:t>
            </w:r>
            <w:proofErr w:type="spellEnd"/>
            <w:r w:rsidRPr="009E7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321">
              <w:rPr>
                <w:rFonts w:ascii="Times New Roman" w:hAnsi="Times New Roman" w:cs="Times New Roman"/>
              </w:rPr>
              <w:t>of</w:t>
            </w:r>
            <w:proofErr w:type="spellEnd"/>
            <w:r w:rsidRPr="009E7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321">
              <w:rPr>
                <w:rFonts w:ascii="Times New Roman" w:hAnsi="Times New Roman" w:cs="Times New Roman"/>
              </w:rPr>
              <w:t>issuer</w:t>
            </w:r>
            <w:proofErr w:type="spellEnd"/>
          </w:p>
        </w:tc>
        <w:tc>
          <w:tcPr>
            <w:tcW w:w="4394" w:type="dxa"/>
            <w:vAlign w:val="center"/>
          </w:tcPr>
          <w:p w:rsidR="00E0029D" w:rsidRPr="009E7321" w:rsidRDefault="00134A0B" w:rsidP="00E0029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4A0B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69 </w:t>
            </w:r>
            <w:proofErr w:type="spellStart"/>
            <w:r w:rsidRPr="00134A0B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Pyatnitskaya</w:t>
            </w:r>
            <w:proofErr w:type="spellEnd"/>
            <w:r w:rsidRPr="00134A0B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str., Moscow, 115054</w:t>
            </w:r>
          </w:p>
        </w:tc>
      </w:tr>
      <w:tr w:rsidR="00E0029D" w:rsidRPr="009E7321" w:rsidTr="00E0029D">
        <w:tc>
          <w:tcPr>
            <w:tcW w:w="5670" w:type="dxa"/>
          </w:tcPr>
          <w:p w:rsidR="00E0029D" w:rsidRPr="009E7321" w:rsidRDefault="009E7321" w:rsidP="00E0029D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en-US"/>
              </w:rPr>
            </w:pPr>
            <w:r w:rsidRPr="009E7321">
              <w:rPr>
                <w:rFonts w:ascii="Times New Roman" w:hAnsi="Times New Roman" w:cs="Times New Roman"/>
                <w:lang w:val="en-US"/>
              </w:rPr>
              <w:t>1.3</w:t>
            </w:r>
            <w:r w:rsidR="00E0029D" w:rsidRPr="009E7321">
              <w:rPr>
                <w:rFonts w:ascii="Times New Roman" w:hAnsi="Times New Roman" w:cs="Times New Roman"/>
                <w:lang w:val="en-US"/>
              </w:rPr>
              <w:t>. OGRN (Primary State Registration</w:t>
            </w:r>
          </w:p>
          <w:p w:rsidR="00E0029D" w:rsidRPr="009E7321" w:rsidRDefault="00E0029D" w:rsidP="00E0029D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en-US"/>
              </w:rPr>
            </w:pPr>
            <w:r w:rsidRPr="009E7321">
              <w:rPr>
                <w:rFonts w:ascii="Times New Roman" w:hAnsi="Times New Roman" w:cs="Times New Roman"/>
                <w:lang w:val="en-US"/>
              </w:rPr>
              <w:t>Number) of issuer</w:t>
            </w:r>
          </w:p>
        </w:tc>
        <w:tc>
          <w:tcPr>
            <w:tcW w:w="4394" w:type="dxa"/>
            <w:vAlign w:val="center"/>
          </w:tcPr>
          <w:p w:rsidR="00E0029D" w:rsidRPr="009E7321" w:rsidRDefault="00E0029D" w:rsidP="00E0029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9E7321">
              <w:rPr>
                <w:rFonts w:ascii="Times New Roman" w:hAnsi="Times New Roman" w:cs="Times New Roman"/>
                <w:b/>
                <w:bCs/>
                <w:i/>
                <w:iCs/>
              </w:rPr>
              <w:t>1027717003467</w:t>
            </w:r>
          </w:p>
        </w:tc>
      </w:tr>
      <w:tr w:rsidR="00E0029D" w:rsidRPr="009E7321" w:rsidTr="00E0029D">
        <w:tc>
          <w:tcPr>
            <w:tcW w:w="5670" w:type="dxa"/>
          </w:tcPr>
          <w:p w:rsidR="00E0029D" w:rsidRPr="009E7321" w:rsidRDefault="009E7321" w:rsidP="00E0029D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en-US"/>
              </w:rPr>
            </w:pPr>
            <w:r w:rsidRPr="009E7321">
              <w:rPr>
                <w:rFonts w:ascii="Times New Roman" w:hAnsi="Times New Roman" w:cs="Times New Roman"/>
                <w:lang w:val="en-US"/>
              </w:rPr>
              <w:t>1.4</w:t>
            </w:r>
            <w:r w:rsidR="00E0029D" w:rsidRPr="009E7321">
              <w:rPr>
                <w:rFonts w:ascii="Times New Roman" w:hAnsi="Times New Roman" w:cs="Times New Roman"/>
                <w:lang w:val="en-US"/>
              </w:rPr>
              <w:t>. INN (Taxpayer Identification Number) of issuer</w:t>
            </w:r>
          </w:p>
        </w:tc>
        <w:tc>
          <w:tcPr>
            <w:tcW w:w="4394" w:type="dxa"/>
            <w:vAlign w:val="center"/>
          </w:tcPr>
          <w:p w:rsidR="00E0029D" w:rsidRPr="009E7321" w:rsidRDefault="00E0029D" w:rsidP="00E0029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9E7321">
              <w:rPr>
                <w:rFonts w:ascii="Times New Roman" w:hAnsi="Times New Roman" w:cs="Times New Roman"/>
                <w:b/>
                <w:bCs/>
                <w:i/>
                <w:iCs/>
              </w:rPr>
              <w:t>7717133960</w:t>
            </w:r>
          </w:p>
        </w:tc>
      </w:tr>
      <w:tr w:rsidR="00E0029D" w:rsidRPr="009E7321" w:rsidTr="00E0029D">
        <w:tc>
          <w:tcPr>
            <w:tcW w:w="5670" w:type="dxa"/>
          </w:tcPr>
          <w:p w:rsidR="00E0029D" w:rsidRPr="009E7321" w:rsidRDefault="009E7321" w:rsidP="00E0029D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en-US"/>
              </w:rPr>
            </w:pPr>
            <w:r w:rsidRPr="009E7321">
              <w:rPr>
                <w:rFonts w:ascii="Times New Roman" w:hAnsi="Times New Roman" w:cs="Times New Roman"/>
                <w:lang w:val="en-US"/>
              </w:rPr>
              <w:t>1.5</w:t>
            </w:r>
            <w:r w:rsidR="00E0029D" w:rsidRPr="009E7321">
              <w:rPr>
                <w:rFonts w:ascii="Times New Roman" w:hAnsi="Times New Roman" w:cs="Times New Roman"/>
                <w:lang w:val="en-US"/>
              </w:rPr>
              <w:t xml:space="preserve">. Unique issuer code assigned </w:t>
            </w:r>
          </w:p>
          <w:p w:rsidR="00E0029D" w:rsidRPr="009E7321" w:rsidRDefault="00E0029D" w:rsidP="00E0029D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en-US"/>
              </w:rPr>
            </w:pPr>
            <w:r w:rsidRPr="009E7321">
              <w:rPr>
                <w:rFonts w:ascii="Times New Roman" w:hAnsi="Times New Roman" w:cs="Times New Roman"/>
                <w:lang w:val="en-US"/>
              </w:rPr>
              <w:t>by registering authority</w:t>
            </w:r>
          </w:p>
        </w:tc>
        <w:tc>
          <w:tcPr>
            <w:tcW w:w="4394" w:type="dxa"/>
            <w:vAlign w:val="center"/>
          </w:tcPr>
          <w:p w:rsidR="00E0029D" w:rsidRPr="009E7321" w:rsidRDefault="00E0029D" w:rsidP="00E0029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9E7321">
              <w:rPr>
                <w:rFonts w:ascii="Times New Roman" w:hAnsi="Times New Roman" w:cs="Times New Roman"/>
                <w:b/>
                <w:bCs/>
                <w:i/>
                <w:iCs/>
              </w:rPr>
              <w:t>39134-Н</w:t>
            </w:r>
          </w:p>
        </w:tc>
      </w:tr>
      <w:tr w:rsidR="00155B1F" w:rsidRPr="009E7321" w:rsidTr="00E0029D">
        <w:trPr>
          <w:trHeight w:val="62"/>
        </w:trPr>
        <w:tc>
          <w:tcPr>
            <w:tcW w:w="5670" w:type="dxa"/>
          </w:tcPr>
          <w:p w:rsidR="00155B1F" w:rsidRPr="009E7321" w:rsidRDefault="009E7321" w:rsidP="00155B1F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en-US"/>
              </w:rPr>
            </w:pPr>
            <w:r w:rsidRPr="009E7321">
              <w:rPr>
                <w:rFonts w:ascii="Times New Roman" w:hAnsi="Times New Roman" w:cs="Times New Roman"/>
                <w:lang w:val="en-US"/>
              </w:rPr>
              <w:t>1.6</w:t>
            </w:r>
            <w:r w:rsidR="00155B1F" w:rsidRPr="009E7321">
              <w:rPr>
                <w:rFonts w:ascii="Times New Roman" w:hAnsi="Times New Roman" w:cs="Times New Roman"/>
                <w:lang w:val="en-US"/>
              </w:rPr>
              <w:t>. Websites used by issuer to disclose</w:t>
            </w:r>
          </w:p>
          <w:p w:rsidR="00155B1F" w:rsidRPr="009E7321" w:rsidRDefault="00155B1F" w:rsidP="00155B1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9E7321">
              <w:rPr>
                <w:rFonts w:ascii="Times New Roman" w:hAnsi="Times New Roman" w:cs="Times New Roman"/>
              </w:rPr>
              <w:t>information</w:t>
            </w:r>
            <w:proofErr w:type="spellEnd"/>
          </w:p>
        </w:tc>
        <w:tc>
          <w:tcPr>
            <w:tcW w:w="4394" w:type="dxa"/>
            <w:vAlign w:val="center"/>
          </w:tcPr>
          <w:p w:rsidR="00155B1F" w:rsidRPr="009E7321" w:rsidRDefault="009832ED" w:rsidP="00155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hyperlink r:id="rId5" w:history="1">
              <w:r w:rsidR="00155B1F" w:rsidRPr="009E7321">
                <w:rPr>
                  <w:rStyle w:val="a4"/>
                  <w:rFonts w:ascii="Times New Roman" w:hAnsi="Times New Roman"/>
                  <w:b/>
                  <w:i/>
                  <w:lang w:val="en-US"/>
                </w:rPr>
                <w:t>http</w:t>
              </w:r>
              <w:r w:rsidR="00155B1F" w:rsidRPr="009E7321">
                <w:rPr>
                  <w:rStyle w:val="a4"/>
                  <w:rFonts w:ascii="Times New Roman" w:hAnsi="Times New Roman"/>
                  <w:b/>
                  <w:i/>
                </w:rPr>
                <w:t>://</w:t>
              </w:r>
              <w:r w:rsidR="00155B1F" w:rsidRPr="009E7321">
                <w:rPr>
                  <w:rStyle w:val="a4"/>
                  <w:rFonts w:ascii="Times New Roman" w:hAnsi="Times New Roman"/>
                  <w:b/>
                  <w:i/>
                  <w:lang w:val="en-US"/>
                </w:rPr>
                <w:t>www</w:t>
              </w:r>
              <w:r w:rsidR="00155B1F" w:rsidRPr="009E7321">
                <w:rPr>
                  <w:rStyle w:val="a4"/>
                  <w:rFonts w:ascii="Times New Roman" w:hAnsi="Times New Roman"/>
                  <w:b/>
                  <w:i/>
                </w:rPr>
                <w:t>.</w:t>
              </w:r>
              <w:r w:rsidR="00155B1F" w:rsidRPr="009E7321">
                <w:rPr>
                  <w:rStyle w:val="a4"/>
                  <w:rFonts w:ascii="Times New Roman" w:hAnsi="Times New Roman"/>
                  <w:b/>
                  <w:i/>
                  <w:lang w:val="en-US"/>
                </w:rPr>
                <w:t>e</w:t>
              </w:r>
              <w:r w:rsidR="00155B1F" w:rsidRPr="009E7321">
                <w:rPr>
                  <w:rStyle w:val="a4"/>
                  <w:rFonts w:ascii="Times New Roman" w:hAnsi="Times New Roman"/>
                  <w:b/>
                  <w:i/>
                </w:rPr>
                <w:t>-</w:t>
              </w:r>
              <w:r w:rsidR="00155B1F" w:rsidRPr="009E7321">
                <w:rPr>
                  <w:rStyle w:val="a4"/>
                  <w:rFonts w:ascii="Times New Roman" w:hAnsi="Times New Roman"/>
                  <w:b/>
                  <w:i/>
                  <w:lang w:val="en-US"/>
                </w:rPr>
                <w:t>disclosure</w:t>
              </w:r>
              <w:r w:rsidR="00155B1F" w:rsidRPr="009E7321">
                <w:rPr>
                  <w:rStyle w:val="a4"/>
                  <w:rFonts w:ascii="Times New Roman" w:hAnsi="Times New Roman"/>
                  <w:b/>
                  <w:i/>
                </w:rPr>
                <w:t>.</w:t>
              </w:r>
              <w:proofErr w:type="spellStart"/>
              <w:r w:rsidR="00155B1F" w:rsidRPr="009E7321">
                <w:rPr>
                  <w:rStyle w:val="a4"/>
                  <w:rFonts w:ascii="Times New Roman" w:hAnsi="Times New Roman"/>
                  <w:b/>
                  <w:i/>
                  <w:lang w:val="en-US"/>
                </w:rPr>
                <w:t>ru</w:t>
              </w:r>
              <w:proofErr w:type="spellEnd"/>
              <w:r w:rsidR="00155B1F" w:rsidRPr="009E7321">
                <w:rPr>
                  <w:rStyle w:val="a4"/>
                  <w:rFonts w:ascii="Times New Roman" w:hAnsi="Times New Roman"/>
                  <w:b/>
                  <w:i/>
                </w:rPr>
                <w:t>/</w:t>
              </w:r>
              <w:r w:rsidR="00155B1F" w:rsidRPr="009E7321">
                <w:rPr>
                  <w:rStyle w:val="a4"/>
                  <w:rFonts w:ascii="Times New Roman" w:hAnsi="Times New Roman"/>
                  <w:b/>
                  <w:i/>
                  <w:lang w:val="en-US"/>
                </w:rPr>
                <w:t>portal</w:t>
              </w:r>
              <w:r w:rsidR="00155B1F" w:rsidRPr="009E7321">
                <w:rPr>
                  <w:rStyle w:val="a4"/>
                  <w:rFonts w:ascii="Times New Roman" w:hAnsi="Times New Roman"/>
                  <w:b/>
                  <w:i/>
                </w:rPr>
                <w:t>/</w:t>
              </w:r>
              <w:r w:rsidR="00155B1F" w:rsidRPr="009E7321">
                <w:rPr>
                  <w:rStyle w:val="a4"/>
                  <w:rFonts w:ascii="Times New Roman" w:hAnsi="Times New Roman"/>
                  <w:b/>
                  <w:i/>
                  <w:lang w:val="en-US"/>
                </w:rPr>
                <w:t>company</w:t>
              </w:r>
              <w:r w:rsidR="00155B1F" w:rsidRPr="009E7321">
                <w:rPr>
                  <w:rStyle w:val="a4"/>
                  <w:rFonts w:ascii="Times New Roman" w:hAnsi="Times New Roman"/>
                  <w:b/>
                  <w:i/>
                </w:rPr>
                <w:t>.</w:t>
              </w:r>
              <w:proofErr w:type="spellStart"/>
              <w:r w:rsidR="00155B1F" w:rsidRPr="009E7321">
                <w:rPr>
                  <w:rStyle w:val="a4"/>
                  <w:rFonts w:ascii="Times New Roman" w:hAnsi="Times New Roman"/>
                  <w:b/>
                  <w:i/>
                  <w:lang w:val="en-US"/>
                </w:rPr>
                <w:t>aspx</w:t>
              </w:r>
              <w:proofErr w:type="spellEnd"/>
              <w:r w:rsidR="00155B1F" w:rsidRPr="009E7321">
                <w:rPr>
                  <w:rStyle w:val="a4"/>
                  <w:rFonts w:ascii="Times New Roman" w:hAnsi="Times New Roman"/>
                  <w:b/>
                  <w:i/>
                </w:rPr>
                <w:t>?</w:t>
              </w:r>
              <w:r w:rsidR="00155B1F" w:rsidRPr="009E7321">
                <w:rPr>
                  <w:rStyle w:val="a4"/>
                  <w:rFonts w:ascii="Times New Roman" w:hAnsi="Times New Roman"/>
                  <w:b/>
                  <w:i/>
                  <w:lang w:val="en-US"/>
                </w:rPr>
                <w:t>id</w:t>
              </w:r>
              <w:r w:rsidR="00155B1F" w:rsidRPr="009E7321">
                <w:rPr>
                  <w:rStyle w:val="a4"/>
                  <w:rFonts w:ascii="Times New Roman" w:hAnsi="Times New Roman"/>
                  <w:b/>
                  <w:i/>
                </w:rPr>
                <w:t>=534</w:t>
              </w:r>
            </w:hyperlink>
            <w:r w:rsidR="00155B1F" w:rsidRPr="009E7321"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155B1F" w:rsidRPr="009E7321" w:rsidRDefault="009832ED" w:rsidP="00155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hyperlink r:id="rId6" w:history="1">
              <w:r w:rsidR="00155B1F" w:rsidRPr="009E7321">
                <w:rPr>
                  <w:rStyle w:val="a4"/>
                  <w:rFonts w:ascii="Times New Roman" w:hAnsi="Times New Roman"/>
                  <w:b/>
                  <w:i/>
                </w:rPr>
                <w:t>http://www.russneft.ru/</w:t>
              </w:r>
            </w:hyperlink>
          </w:p>
        </w:tc>
      </w:tr>
      <w:tr w:rsidR="00155B1F" w:rsidRPr="009E7321" w:rsidTr="00E0029D">
        <w:trPr>
          <w:trHeight w:val="62"/>
        </w:trPr>
        <w:tc>
          <w:tcPr>
            <w:tcW w:w="5670" w:type="dxa"/>
          </w:tcPr>
          <w:p w:rsidR="00155B1F" w:rsidRPr="009E7321" w:rsidRDefault="009E7321" w:rsidP="00155B1F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en-US"/>
              </w:rPr>
            </w:pPr>
            <w:r w:rsidRPr="009E7321">
              <w:rPr>
                <w:rFonts w:ascii="Times New Roman" w:hAnsi="Times New Roman" w:cs="Times New Roman"/>
                <w:lang w:val="en-US"/>
              </w:rPr>
              <w:t>1.7</w:t>
            </w:r>
            <w:r w:rsidR="00155B1F" w:rsidRPr="009E7321">
              <w:rPr>
                <w:rFonts w:ascii="Times New Roman" w:hAnsi="Times New Roman" w:cs="Times New Roman"/>
                <w:lang w:val="en-US"/>
              </w:rPr>
              <w:t xml:space="preserve">. The date of the occurrence of the event (corporate event), about which the statement was compiled </w:t>
            </w:r>
          </w:p>
          <w:p w:rsidR="00155B1F" w:rsidRPr="009E7321" w:rsidRDefault="00155B1F" w:rsidP="00155B1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9E7321">
              <w:rPr>
                <w:rFonts w:ascii="Times New Roman" w:hAnsi="Times New Roman" w:cs="Times New Roman"/>
              </w:rPr>
              <w:t>(</w:t>
            </w:r>
            <w:proofErr w:type="spellStart"/>
            <w:r w:rsidRPr="009E7321">
              <w:rPr>
                <w:rFonts w:ascii="Times New Roman" w:hAnsi="Times New Roman" w:cs="Times New Roman"/>
              </w:rPr>
              <w:t>if</w:t>
            </w:r>
            <w:proofErr w:type="spellEnd"/>
            <w:r w:rsidRPr="009E7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321">
              <w:rPr>
                <w:rFonts w:ascii="Times New Roman" w:hAnsi="Times New Roman" w:cs="Times New Roman"/>
              </w:rPr>
              <w:t>applicable</w:t>
            </w:r>
            <w:proofErr w:type="spellEnd"/>
            <w:r w:rsidRPr="009E73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  <w:vAlign w:val="center"/>
          </w:tcPr>
          <w:p w:rsidR="00155B1F" w:rsidRPr="009E7321" w:rsidRDefault="009E7321" w:rsidP="009E732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E7321">
              <w:rPr>
                <w:rFonts w:ascii="Times New Roman" w:hAnsi="Times New Roman" w:cs="Times New Roman"/>
                <w:b/>
                <w:i/>
                <w:lang w:val="en-US"/>
              </w:rPr>
              <w:t>08</w:t>
            </w:r>
            <w:r w:rsidR="00155B1F" w:rsidRPr="009E7321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="001A4677" w:rsidRPr="009E7321">
              <w:rPr>
                <w:rFonts w:ascii="Times New Roman" w:hAnsi="Times New Roman" w:cs="Times New Roman"/>
                <w:b/>
                <w:i/>
                <w:lang w:val="en-US"/>
              </w:rPr>
              <w:t>0</w:t>
            </w:r>
            <w:r w:rsidRPr="009E7321">
              <w:rPr>
                <w:rFonts w:ascii="Times New Roman" w:hAnsi="Times New Roman" w:cs="Times New Roman"/>
                <w:b/>
                <w:i/>
                <w:lang w:val="en-US"/>
              </w:rPr>
              <w:t>9</w:t>
            </w:r>
            <w:r w:rsidR="001A4677" w:rsidRPr="009E7321">
              <w:rPr>
                <w:rFonts w:ascii="Times New Roman" w:hAnsi="Times New Roman" w:cs="Times New Roman"/>
                <w:b/>
                <w:i/>
                <w:lang w:val="en-US"/>
              </w:rPr>
              <w:t>.202</w:t>
            </w:r>
            <w:r w:rsidR="00840D47" w:rsidRPr="009E7321"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</w:tr>
    </w:tbl>
    <w:p w:rsidR="00AE6075" w:rsidRPr="009E7321" w:rsidRDefault="00AE6075" w:rsidP="00E002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tbl>
      <w:tblPr>
        <w:tblW w:w="1006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4"/>
      </w:tblGrid>
      <w:tr w:rsidR="00AE6075" w:rsidRPr="00077FDB" w:rsidTr="00AE2B32">
        <w:tc>
          <w:tcPr>
            <w:tcW w:w="10064" w:type="dxa"/>
          </w:tcPr>
          <w:p w:rsidR="00AE6075" w:rsidRPr="006D745B" w:rsidRDefault="00AE6075" w:rsidP="006D74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77F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2. </w:t>
            </w:r>
            <w:r w:rsidR="006D745B">
              <w:rPr>
                <w:rFonts w:ascii="Times New Roman" w:eastAsia="Times New Roman" w:hAnsi="Times New Roman" w:cs="Times New Roman"/>
                <w:lang w:val="en-US" w:eastAsia="ru-RU"/>
              </w:rPr>
              <w:t>Statement contents</w:t>
            </w:r>
          </w:p>
        </w:tc>
      </w:tr>
      <w:tr w:rsidR="00AE6075" w:rsidRPr="009E7321" w:rsidTr="00AE2B32">
        <w:tc>
          <w:tcPr>
            <w:tcW w:w="10064" w:type="dxa"/>
          </w:tcPr>
          <w:p w:rsidR="00D362F4" w:rsidRPr="006557DA" w:rsidRDefault="00AE6075" w:rsidP="00CA103F">
            <w:pPr>
              <w:autoSpaceDE w:val="0"/>
              <w:autoSpaceDN w:val="0"/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557D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2.1 </w:t>
            </w:r>
            <w:r w:rsidR="00D362F4" w:rsidRPr="006557D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Type of </w:t>
            </w:r>
            <w:r w:rsidR="001C44B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general </w:t>
            </w:r>
            <w:r w:rsidR="00F56CA2">
              <w:rPr>
                <w:rFonts w:ascii="Times New Roman" w:eastAsia="Times New Roman" w:hAnsi="Times New Roman" w:cs="Times New Roman"/>
                <w:lang w:val="en-US" w:eastAsia="ru-RU"/>
              </w:rPr>
              <w:t>participants</w:t>
            </w:r>
            <w:r w:rsidR="001C44B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(shareholders) </w:t>
            </w:r>
            <w:r w:rsidR="00D362F4" w:rsidRPr="006557DA">
              <w:rPr>
                <w:rFonts w:ascii="Times New Roman" w:eastAsia="Times New Roman" w:hAnsi="Times New Roman" w:cs="Times New Roman"/>
                <w:lang w:val="en-US" w:eastAsia="ru-RU"/>
              </w:rPr>
              <w:t>meeting</w:t>
            </w:r>
            <w:r w:rsidR="001C44B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of the Issuer (annual (regular), extraordinary</w:t>
            </w:r>
            <w:r w:rsidR="009E7321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  <w:r w:rsidR="00D362F4" w:rsidRPr="006557D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r w:rsidR="00F56CA2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E</w:t>
            </w:r>
            <w:r w:rsidR="001C44B2" w:rsidRPr="001C44B2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xtraordinary</w:t>
            </w:r>
            <w:r w:rsidR="00D362F4" w:rsidRPr="006557DA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general </w:t>
            </w:r>
            <w:r w:rsidR="00F56CA2" w:rsidRPr="006557DA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meeting</w:t>
            </w:r>
            <w:r w:rsidR="00F56CA2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of the </w:t>
            </w:r>
            <w:r w:rsidR="00D362F4" w:rsidRPr="006557DA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shareholders.</w:t>
            </w:r>
          </w:p>
          <w:p w:rsidR="00D362F4" w:rsidRPr="006557DA" w:rsidRDefault="00AE6075" w:rsidP="00CA103F">
            <w:pPr>
              <w:autoSpaceDE w:val="0"/>
              <w:autoSpaceDN w:val="0"/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557D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2.2. </w:t>
            </w:r>
            <w:r w:rsidR="00D362F4" w:rsidRPr="006557D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Form of the </w:t>
            </w:r>
            <w:r w:rsidR="00F56CA2">
              <w:rPr>
                <w:rFonts w:ascii="Times New Roman" w:eastAsia="Times New Roman" w:hAnsi="Times New Roman" w:cs="Times New Roman"/>
                <w:lang w:val="en-US" w:eastAsia="ru-RU"/>
              </w:rPr>
              <w:t>general</w:t>
            </w:r>
            <w:r w:rsidR="00F56CA2" w:rsidRPr="006557D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D362F4" w:rsidRPr="006557DA">
              <w:rPr>
                <w:rFonts w:ascii="Times New Roman" w:eastAsia="Times New Roman" w:hAnsi="Times New Roman" w:cs="Times New Roman"/>
                <w:lang w:val="en-US" w:eastAsia="ru-RU"/>
              </w:rPr>
              <w:t>meeting</w:t>
            </w:r>
            <w:r w:rsidR="00624A5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of the </w:t>
            </w:r>
            <w:r w:rsidR="00F56CA2">
              <w:rPr>
                <w:rFonts w:ascii="Times New Roman" w:eastAsia="Times New Roman" w:hAnsi="Times New Roman" w:cs="Times New Roman"/>
                <w:lang w:val="en-US" w:eastAsia="ru-RU"/>
              </w:rPr>
              <w:t>participants</w:t>
            </w:r>
            <w:r w:rsidR="00624A5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(shareholders) of the </w:t>
            </w:r>
            <w:r w:rsidR="00F56CA2">
              <w:rPr>
                <w:rFonts w:ascii="Times New Roman" w:eastAsia="Times New Roman" w:hAnsi="Times New Roman" w:cs="Times New Roman"/>
                <w:lang w:val="en-US" w:eastAsia="ru-RU"/>
              </w:rPr>
              <w:t>Issuer (meeting (joint presence)</w:t>
            </w:r>
            <w:r w:rsidR="00624A5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or the absentee voting)</w:t>
            </w:r>
            <w:r w:rsidR="00D362F4" w:rsidRPr="006557D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r w:rsidR="00624A5E" w:rsidRPr="00F56CA2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Absentee voting</w:t>
            </w:r>
            <w:r w:rsidR="00D362F4" w:rsidRPr="006557DA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.</w:t>
            </w:r>
          </w:p>
          <w:p w:rsidR="00D362F4" w:rsidRPr="006557DA" w:rsidRDefault="00F854C7" w:rsidP="00CA103F">
            <w:pPr>
              <w:tabs>
                <w:tab w:val="left" w:pos="397"/>
                <w:tab w:val="left" w:pos="737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6557D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2.3. </w:t>
            </w:r>
            <w:r w:rsidR="00D362F4" w:rsidRPr="006557D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Date, location, time of holding the Issuer’s </w:t>
            </w:r>
            <w:r w:rsidR="00624A5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general </w:t>
            </w:r>
            <w:r w:rsidR="009E7321">
              <w:rPr>
                <w:rFonts w:ascii="Times New Roman" w:eastAsia="Times New Roman" w:hAnsi="Times New Roman" w:cs="Times New Roman"/>
                <w:lang w:val="en-US" w:eastAsia="ru-RU"/>
              </w:rPr>
              <w:t>participants (</w:t>
            </w:r>
            <w:r w:rsidR="00D362F4" w:rsidRPr="006557DA">
              <w:rPr>
                <w:rFonts w:ascii="Times New Roman" w:eastAsia="Times New Roman" w:hAnsi="Times New Roman" w:cs="Times New Roman"/>
                <w:lang w:val="en-US" w:eastAsia="ru-RU"/>
              </w:rPr>
              <w:t>sharehold</w:t>
            </w:r>
            <w:r w:rsidR="00F56CA2">
              <w:rPr>
                <w:rFonts w:ascii="Times New Roman" w:eastAsia="Times New Roman" w:hAnsi="Times New Roman" w:cs="Times New Roman"/>
                <w:lang w:val="en-US" w:eastAsia="ru-RU"/>
              </w:rPr>
              <w:t>ers</w:t>
            </w:r>
            <w:r w:rsidR="009E7321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  <w:r w:rsidR="00D362F4" w:rsidRPr="006557D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meeting:</w:t>
            </w:r>
            <w:r w:rsidR="001A4677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</w:t>
            </w:r>
            <w:r w:rsidR="009E7321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05</w:t>
            </w:r>
            <w:r w:rsidR="001A4677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.0</w:t>
            </w:r>
            <w:r w:rsidR="009E7321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9</w:t>
            </w:r>
            <w:r w:rsidR="00840D47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.2022</w:t>
            </w:r>
            <w:r w:rsidR="00F56CA2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,</w:t>
            </w:r>
            <w:r w:rsidR="00D362F4" w:rsidRPr="006557DA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</w:t>
            </w:r>
            <w:r w:rsidR="00624A5E" w:rsidRPr="00624A5E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postal address</w:t>
            </w:r>
            <w:r w:rsidR="00F56CA2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,</w:t>
            </w:r>
            <w:r w:rsidR="00624A5E" w:rsidRPr="00624A5E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to which the completed ballots for absentee voting</w:t>
            </w:r>
            <w:r w:rsidR="0023423B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</w:t>
            </w:r>
            <w:proofErr w:type="gramStart"/>
            <w:r w:rsidR="00624A5E" w:rsidRPr="00624A5E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should</w:t>
            </w:r>
            <w:r w:rsidR="0023423B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</w:t>
            </w:r>
            <w:r w:rsidR="00624A5E" w:rsidRPr="00624A5E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be</w:t>
            </w:r>
            <w:r w:rsidR="0023423B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</w:t>
            </w:r>
            <w:r w:rsidR="00624A5E" w:rsidRPr="00624A5E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sent</w:t>
            </w:r>
            <w:proofErr w:type="gramEnd"/>
            <w:r w:rsidR="00624A5E" w:rsidRPr="00624A5E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: 10</w:t>
            </w:r>
            <w:r w:rsidR="00840D47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7045, Moscow, </w:t>
            </w:r>
            <w:proofErr w:type="spellStart"/>
            <w:r w:rsidR="00840D47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Sretenka</w:t>
            </w:r>
            <w:proofErr w:type="spellEnd"/>
            <w:r w:rsidR="00840D47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str., 12, JSC Service-</w:t>
            </w:r>
            <w:proofErr w:type="spellStart"/>
            <w:r w:rsidR="00840D47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Reestr</w:t>
            </w:r>
            <w:proofErr w:type="spellEnd"/>
            <w:r w:rsidR="00840D47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.</w:t>
            </w:r>
          </w:p>
          <w:p w:rsidR="00D362F4" w:rsidRPr="00D362F4" w:rsidRDefault="00AE6075" w:rsidP="00CA103F">
            <w:pPr>
              <w:autoSpaceDE w:val="0"/>
              <w:autoSpaceDN w:val="0"/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6557D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2.4. </w:t>
            </w:r>
            <w:r w:rsidR="00D362F4" w:rsidRPr="00D362F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Q</w:t>
            </w:r>
            <w:r w:rsidR="00D362F4" w:rsidRPr="00D362F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uorum of the Issuer’s general </w:t>
            </w:r>
            <w:r w:rsidR="009E7321" w:rsidRPr="009E732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participants (shareholders) </w:t>
            </w:r>
            <w:r w:rsidR="00D362F4" w:rsidRPr="006557DA">
              <w:rPr>
                <w:rFonts w:ascii="Times New Roman" w:eastAsia="Times New Roman" w:hAnsi="Times New Roman" w:cs="Times New Roman"/>
                <w:lang w:val="en-US" w:eastAsia="ru-RU"/>
              </w:rPr>
              <w:t>meeting:</w:t>
            </w:r>
            <w:r w:rsidR="001E225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840D47" w:rsidRPr="00840D47">
              <w:rPr>
                <w:rFonts w:ascii="Times New Roman" w:eastAsia="Times New Roman" w:hAnsi="Times New Roman" w:cs="Times New Roman"/>
                <w:b/>
                <w:i/>
                <w:lang w:val="en" w:eastAsia="ru-RU"/>
              </w:rPr>
              <w:t>5</w:t>
            </w:r>
            <w:r w:rsidR="009E7321">
              <w:rPr>
                <w:rFonts w:ascii="Times New Roman" w:eastAsia="Times New Roman" w:hAnsi="Times New Roman" w:cs="Times New Roman"/>
                <w:b/>
                <w:i/>
                <w:lang w:val="en" w:eastAsia="ru-RU"/>
              </w:rPr>
              <w:t>4</w:t>
            </w:r>
            <w:r w:rsidR="00840D47" w:rsidRPr="00840D47">
              <w:rPr>
                <w:rFonts w:ascii="Times New Roman" w:eastAsia="Times New Roman" w:hAnsi="Times New Roman" w:cs="Times New Roman"/>
                <w:b/>
                <w:i/>
                <w:lang w:val="en" w:eastAsia="ru-RU"/>
              </w:rPr>
              <w:t>.</w:t>
            </w:r>
            <w:r w:rsidR="009E7321">
              <w:rPr>
                <w:rFonts w:ascii="Times New Roman" w:eastAsia="Times New Roman" w:hAnsi="Times New Roman" w:cs="Times New Roman"/>
                <w:b/>
                <w:i/>
                <w:lang w:val="en" w:eastAsia="ru-RU"/>
              </w:rPr>
              <w:t>598</w:t>
            </w:r>
            <w:r w:rsidR="00840D47" w:rsidRPr="00840D47">
              <w:rPr>
                <w:rFonts w:ascii="Times New Roman" w:eastAsia="Times New Roman" w:hAnsi="Times New Roman" w:cs="Times New Roman"/>
                <w:b/>
                <w:i/>
                <w:lang w:val="en" w:eastAsia="ru-RU"/>
              </w:rPr>
              <w:t>% of votes</w:t>
            </w:r>
            <w:r w:rsidR="001E225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;</w:t>
            </w:r>
            <w:r w:rsidR="00D362F4" w:rsidRPr="00D362F4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The quorum is present.</w:t>
            </w:r>
          </w:p>
          <w:p w:rsidR="006557DA" w:rsidRPr="006557DA" w:rsidRDefault="00AE6075" w:rsidP="00CA103F">
            <w:pPr>
              <w:autoSpaceDE w:val="0"/>
              <w:autoSpaceDN w:val="0"/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557DA">
              <w:rPr>
                <w:rFonts w:ascii="Times New Roman" w:eastAsia="Times New Roman" w:hAnsi="Times New Roman" w:cs="Times New Roman"/>
                <w:lang w:val="en-US" w:eastAsia="ru-RU"/>
              </w:rPr>
              <w:t>2.5.</w:t>
            </w:r>
            <w:r w:rsidR="006557DA" w:rsidRPr="006557D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6557DA" w:rsidRPr="00D362F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Agenda of the Issuer’s general </w:t>
            </w:r>
            <w:r w:rsidR="0023423B">
              <w:rPr>
                <w:rFonts w:ascii="Times New Roman" w:eastAsia="Times New Roman" w:hAnsi="Times New Roman" w:cs="Times New Roman"/>
                <w:lang w:val="en-US" w:eastAsia="ru-RU"/>
              </w:rPr>
              <w:t>participants (</w:t>
            </w:r>
            <w:r w:rsidR="006557DA" w:rsidRPr="00D362F4">
              <w:rPr>
                <w:rFonts w:ascii="Times New Roman" w:eastAsia="Times New Roman" w:hAnsi="Times New Roman" w:cs="Times New Roman"/>
                <w:lang w:val="en-US" w:eastAsia="ru-RU"/>
              </w:rPr>
              <w:t>shareholders</w:t>
            </w:r>
            <w:r w:rsidR="0023423B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  <w:r w:rsidR="006557DA" w:rsidRPr="00D362F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meeting:</w:t>
            </w:r>
          </w:p>
          <w:p w:rsidR="00CD176A" w:rsidRDefault="00CD176A" w:rsidP="00CD176A">
            <w:pPr>
              <w:tabs>
                <w:tab w:val="num" w:pos="993"/>
                <w:tab w:val="left" w:pos="3960"/>
                <w:tab w:val="left" w:pos="6300"/>
              </w:tabs>
              <w:spacing w:after="0" w:line="240" w:lineRule="auto"/>
              <w:ind w:right="120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1. </w:t>
            </w:r>
            <w:r w:rsidR="00840D47">
              <w:rPr>
                <w:rFonts w:ascii="Times New Roman" w:hAnsi="Times New Roman" w:cs="Times New Roman"/>
                <w:b/>
                <w:i/>
                <w:lang w:val="en-US"/>
              </w:rPr>
              <w:t xml:space="preserve">On making amendments to </w:t>
            </w:r>
            <w:r w:rsidRPr="00CD176A">
              <w:rPr>
                <w:rFonts w:ascii="Times New Roman" w:hAnsi="Times New Roman" w:cs="Times New Roman"/>
                <w:b/>
                <w:i/>
                <w:lang w:val="en-US"/>
              </w:rPr>
              <w:t xml:space="preserve">the PJSC </w:t>
            </w:r>
            <w:r w:rsidRPr="001E2259">
              <w:rPr>
                <w:rFonts w:ascii="Times New Roman" w:hAnsi="Times New Roman" w:cs="Times New Roman"/>
                <w:b/>
                <w:i/>
                <w:lang w:val="en-US"/>
              </w:rPr>
              <w:t>“</w:t>
            </w:r>
            <w:proofErr w:type="spellStart"/>
            <w:r w:rsidRPr="001E2259">
              <w:rPr>
                <w:rFonts w:ascii="Times New Roman" w:hAnsi="Times New Roman" w:cs="Times New Roman"/>
                <w:b/>
                <w:i/>
                <w:lang w:val="en-US"/>
              </w:rPr>
              <w:t>RussNeft</w:t>
            </w:r>
            <w:proofErr w:type="spellEnd"/>
            <w:r w:rsidRPr="001E2259">
              <w:rPr>
                <w:rFonts w:ascii="Times New Roman" w:hAnsi="Times New Roman" w:cs="Times New Roman"/>
                <w:b/>
                <w:i/>
                <w:lang w:val="en-US"/>
              </w:rPr>
              <w:t>”</w:t>
            </w:r>
            <w:r w:rsidRPr="00CD176A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="00840D47">
              <w:rPr>
                <w:rFonts w:ascii="Times New Roman" w:hAnsi="Times New Roman" w:cs="Times New Roman"/>
                <w:b/>
                <w:i/>
                <w:lang w:val="en-US"/>
              </w:rPr>
              <w:t>Articles of Association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</w:p>
          <w:p w:rsidR="00CA103F" w:rsidRPr="00CA103F" w:rsidRDefault="00F34951" w:rsidP="00CA103F">
            <w:pPr>
              <w:autoSpaceDE w:val="0"/>
              <w:autoSpaceDN w:val="0"/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10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2.6. </w:t>
            </w:r>
            <w:r w:rsidR="00CA103F" w:rsidRPr="00CA103F">
              <w:rPr>
                <w:rFonts w:ascii="Times New Roman" w:eastAsia="Times New Roman" w:hAnsi="Times New Roman" w:cs="Times New Roman"/>
                <w:lang w:val="en-US" w:eastAsia="ru-RU"/>
              </w:rPr>
              <w:t>Voting results on agenda items of the Issuer’s gene</w:t>
            </w:r>
            <w:r w:rsidR="009A4DF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ral </w:t>
            </w:r>
            <w:r w:rsidR="0023423B" w:rsidRPr="0023423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participants (shareholders) </w:t>
            </w:r>
            <w:r w:rsidR="009A4DF4">
              <w:rPr>
                <w:rFonts w:ascii="Times New Roman" w:eastAsia="Times New Roman" w:hAnsi="Times New Roman" w:cs="Times New Roman"/>
                <w:lang w:val="en-US" w:eastAsia="ru-RU"/>
              </w:rPr>
              <w:t>meeting</w:t>
            </w:r>
            <w:r w:rsidR="00F56CA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with the quorum, and wordings</w:t>
            </w:r>
            <w:r w:rsidR="00CA103F" w:rsidRPr="00CA10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of the resolutions adopted at the Issuer’s general </w:t>
            </w:r>
            <w:r w:rsidR="0023423B" w:rsidRPr="0023423B">
              <w:rPr>
                <w:rFonts w:ascii="Times New Roman" w:eastAsia="Times New Roman" w:hAnsi="Times New Roman" w:cs="Times New Roman"/>
                <w:lang w:val="en-US" w:eastAsia="ru-RU"/>
              </w:rPr>
              <w:t>participants (shareholders)</w:t>
            </w:r>
            <w:r w:rsidR="0023423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CA103F" w:rsidRPr="00CA103F">
              <w:rPr>
                <w:rFonts w:ascii="Times New Roman" w:eastAsia="Times New Roman" w:hAnsi="Times New Roman" w:cs="Times New Roman"/>
                <w:lang w:val="en-US" w:eastAsia="ru-RU"/>
              </w:rPr>
              <w:t>meeting on the specified issue</w:t>
            </w:r>
            <w:r w:rsidR="00F56CA2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="00CA103F" w:rsidRPr="00CA10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</w:p>
          <w:p w:rsidR="00CA103F" w:rsidRDefault="00F34951" w:rsidP="00CA103F">
            <w:pPr>
              <w:autoSpaceDE w:val="0"/>
              <w:autoSpaceDN w:val="0"/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103F">
              <w:rPr>
                <w:rFonts w:ascii="Times New Roman" w:eastAsia="Times New Roman" w:hAnsi="Times New Roman" w:cs="Times New Roman"/>
                <w:lang w:val="en-US" w:eastAsia="ru-RU"/>
              </w:rPr>
              <w:t>2.6.1.</w:t>
            </w:r>
            <w:r w:rsidR="00BC2194" w:rsidRPr="00CA10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226134">
              <w:rPr>
                <w:rFonts w:ascii="Times New Roman" w:eastAsia="Times New Roman" w:hAnsi="Times New Roman" w:cs="Times New Roman"/>
                <w:lang w:val="en-US" w:eastAsia="ru-RU"/>
              </w:rPr>
              <w:t>Wording</w:t>
            </w:r>
            <w:r w:rsidR="00840D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of the</w:t>
            </w:r>
            <w:r w:rsidR="00CD176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CA103F" w:rsidRPr="00CA103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9A4DF4">
              <w:rPr>
                <w:rFonts w:ascii="Times New Roman" w:eastAsia="Times New Roman" w:hAnsi="Times New Roman" w:cs="Times New Roman"/>
                <w:lang w:val="en-US" w:eastAsia="ru-RU"/>
              </w:rPr>
              <w:t>tem</w:t>
            </w:r>
            <w:r w:rsidR="00CA103F" w:rsidRPr="00CA10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put to vote:</w:t>
            </w:r>
          </w:p>
          <w:p w:rsidR="00840D47" w:rsidRDefault="00840D47" w:rsidP="00CA103F">
            <w:pPr>
              <w:autoSpaceDE w:val="0"/>
              <w:autoSpaceDN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40D47">
              <w:rPr>
                <w:rFonts w:ascii="Times New Roman" w:hAnsi="Times New Roman" w:cs="Times New Roman"/>
                <w:b/>
                <w:i/>
                <w:lang w:val="en-US"/>
              </w:rPr>
              <w:t>On making amendments to the PJSC “</w:t>
            </w:r>
            <w:proofErr w:type="spellStart"/>
            <w:r w:rsidRPr="00840D47">
              <w:rPr>
                <w:rFonts w:ascii="Times New Roman" w:hAnsi="Times New Roman" w:cs="Times New Roman"/>
                <w:b/>
                <w:i/>
                <w:lang w:val="en-US"/>
              </w:rPr>
              <w:t>RussNeft</w:t>
            </w:r>
            <w:proofErr w:type="spellEnd"/>
            <w:r w:rsidRPr="00840D47">
              <w:rPr>
                <w:rFonts w:ascii="Times New Roman" w:hAnsi="Times New Roman" w:cs="Times New Roman"/>
                <w:b/>
                <w:i/>
                <w:lang w:val="en-US"/>
              </w:rPr>
              <w:t xml:space="preserve">” Articles of Association </w:t>
            </w:r>
          </w:p>
          <w:p w:rsidR="00CD176A" w:rsidRDefault="00CD176A" w:rsidP="00CA103F">
            <w:pPr>
              <w:autoSpaceDE w:val="0"/>
              <w:autoSpaceDN w:val="0"/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Voting results:</w:t>
            </w:r>
            <w:r w:rsidR="00AE601F" w:rsidRPr="00AE601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83864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“AYE”</w:t>
            </w:r>
            <w:r w:rsidRPr="00CD176A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- </w:t>
            </w:r>
            <w:r w:rsidR="009E7321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100</w:t>
            </w:r>
            <w:r w:rsidRPr="00CD176A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% of the votes, </w:t>
            </w:r>
            <w:r w:rsidRPr="00583864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“NO” 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- </w:t>
            </w:r>
            <w:r w:rsidR="009E7321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zero</w:t>
            </w:r>
            <w:r w:rsidRPr="00CD176A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“ABSTENTION” - </w:t>
            </w:r>
            <w:r w:rsidRPr="00583864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zero</w:t>
            </w:r>
            <w:r w:rsidRPr="00CD176A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, the number of votes that were not counted due to the 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invalidation of the ballots – zero. </w:t>
            </w:r>
          </w:p>
          <w:p w:rsidR="0095577A" w:rsidRDefault="0095577A" w:rsidP="0095577A">
            <w:pPr>
              <w:autoSpaceDE w:val="0"/>
              <w:autoSpaceDN w:val="0"/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2.6.</w:t>
            </w:r>
            <w:r w:rsidR="00AF7FB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 Wording</w:t>
            </w:r>
            <w:r w:rsidRPr="00CA10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of the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resolutions, adopted by </w:t>
            </w:r>
            <w:r w:rsidRPr="00D362F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general shareholders </w:t>
            </w:r>
            <w:r w:rsidRPr="006557DA">
              <w:rPr>
                <w:rFonts w:ascii="Times New Roman" w:eastAsia="Times New Roman" w:hAnsi="Times New Roman" w:cs="Times New Roman"/>
                <w:lang w:val="en-US" w:eastAsia="ru-RU"/>
              </w:rPr>
              <w:t>meeting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  <w:p w:rsidR="0095577A" w:rsidRDefault="0095577A" w:rsidP="0095577A">
            <w:pPr>
              <w:autoSpaceDE w:val="0"/>
              <w:autoSpaceDN w:val="0"/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On the first item: </w:t>
            </w:r>
          </w:p>
          <w:p w:rsidR="0095577A" w:rsidRPr="000D30DB" w:rsidRDefault="00BA743C" w:rsidP="000D30DB">
            <w:pPr>
              <w:autoSpaceDE w:val="0"/>
              <w:autoSpaceDN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“</w:t>
            </w:r>
            <w:r w:rsidR="000D30DB" w:rsidRPr="000D30DB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Make amendments to the PJSC “</w:t>
            </w:r>
            <w:proofErr w:type="spellStart"/>
            <w:r w:rsidR="000D30DB" w:rsidRPr="000D30DB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RussNeft</w:t>
            </w:r>
            <w:proofErr w:type="spellEnd"/>
            <w:r w:rsidR="000D30DB" w:rsidRPr="000D30DB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” Articles of Association</w:t>
            </w:r>
            <w:r w:rsidR="00AF7FBC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as per A</w:t>
            </w:r>
            <w:r w:rsidR="00353EDA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nnex</w:t>
            </w:r>
            <w:r w:rsidR="0095577A" w:rsidRPr="000D30DB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”</w:t>
            </w:r>
          </w:p>
          <w:p w:rsidR="00B84AE0" w:rsidRPr="00B84AE0" w:rsidRDefault="00AE6075" w:rsidP="00B84AE0">
            <w:pPr>
              <w:autoSpaceDE w:val="0"/>
              <w:autoSpaceDN w:val="0"/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4AE0">
              <w:rPr>
                <w:rFonts w:ascii="Times New Roman" w:eastAsia="Times New Roman" w:hAnsi="Times New Roman" w:cs="Times New Roman"/>
                <w:lang w:val="en-US" w:eastAsia="ru-RU"/>
              </w:rPr>
              <w:t>2.</w:t>
            </w:r>
            <w:r w:rsidR="00200EE3" w:rsidRPr="00B84AE0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B84AE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 w:rsidR="00B84AE0" w:rsidRPr="00B84AE0">
              <w:rPr>
                <w:rFonts w:ascii="Times New Roman" w:eastAsia="Times New Roman" w:hAnsi="Times New Roman" w:cs="Times New Roman"/>
                <w:lang w:val="en-US" w:eastAsia="ru-RU"/>
              </w:rPr>
              <w:t>Date and number of the Minutes of the Issuer’s gener</w:t>
            </w:r>
            <w:r w:rsidR="00BA7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al </w:t>
            </w:r>
            <w:r w:rsidR="00353EDA">
              <w:rPr>
                <w:rFonts w:ascii="Times New Roman" w:eastAsia="Times New Roman" w:hAnsi="Times New Roman" w:cs="Times New Roman"/>
                <w:lang w:val="en-US" w:eastAsia="ru-RU"/>
              </w:rPr>
              <w:t>participants (</w:t>
            </w:r>
            <w:r w:rsidR="00BA743C">
              <w:rPr>
                <w:rFonts w:ascii="Times New Roman" w:eastAsia="Times New Roman" w:hAnsi="Times New Roman" w:cs="Times New Roman"/>
                <w:lang w:val="en-US" w:eastAsia="ru-RU"/>
              </w:rPr>
              <w:t>shareholders</w:t>
            </w:r>
            <w:r w:rsidR="00353EDA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  <w:r w:rsidR="00BA7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meeting: </w:t>
            </w:r>
            <w:r w:rsidR="00AF7FBC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September</w:t>
            </w:r>
            <w:r w:rsidR="00EC161A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</w:t>
            </w:r>
            <w:r w:rsidR="00AF7FBC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8</w:t>
            </w:r>
            <w:r w:rsidR="00EC161A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, 202</w:t>
            </w:r>
            <w:r w:rsidR="00BA743C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2</w:t>
            </w:r>
            <w:r w:rsidR="00532A6C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, Minutes No.</w:t>
            </w:r>
            <w:r w:rsidR="00B84AE0" w:rsidRPr="00B84AE0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n/a</w:t>
            </w:r>
          </w:p>
          <w:p w:rsidR="00CC5B84" w:rsidRPr="00B84AE0" w:rsidRDefault="00B84AE0" w:rsidP="00EC161A">
            <w:pPr>
              <w:autoSpaceDE w:val="0"/>
              <w:autoSpaceDN w:val="0"/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2.8</w:t>
            </w:r>
            <w:r w:rsidRPr="00B84AE0">
              <w:rPr>
                <w:rFonts w:ascii="Times New Roman" w:eastAsia="Times New Roman" w:hAnsi="Times New Roman" w:cs="Times New Roman"/>
                <w:lang w:val="en-US" w:eastAsia="ru-RU"/>
              </w:rPr>
              <w:t>. Identification criteria of securities, owners</w:t>
            </w:r>
            <w:r w:rsidR="003D2E1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of which</w:t>
            </w:r>
            <w:r w:rsidRPr="00B84AE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are entitled to take part in the general meeting of the Issuer’s shareholders: </w:t>
            </w:r>
            <w:r w:rsidRPr="00B84AE0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Ordinary registered uncertified shares; state registration issue </w:t>
            </w:r>
            <w:r w:rsidR="00640880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No.</w:t>
            </w:r>
            <w:r w:rsidRPr="00B84AE0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: 1-02-39134-</w:t>
            </w:r>
            <w:r w:rsidRPr="00B84A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</w:t>
            </w:r>
            <w:r w:rsidRPr="00B84AE0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; date of state registration: 05.10.2016; international identification code (no.) of the securities (ISIN): RU000A0JSE60</w:t>
            </w:r>
            <w:r w:rsidR="00EC161A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.</w:t>
            </w:r>
          </w:p>
        </w:tc>
      </w:tr>
    </w:tbl>
    <w:p w:rsidR="00AE6075" w:rsidRDefault="00AE6075" w:rsidP="00AE60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tbl>
      <w:tblPr>
        <w:tblW w:w="1006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2"/>
        <w:gridCol w:w="448"/>
        <w:gridCol w:w="293"/>
        <w:gridCol w:w="1318"/>
        <w:gridCol w:w="415"/>
        <w:gridCol w:w="307"/>
        <w:gridCol w:w="412"/>
        <w:gridCol w:w="1984"/>
        <w:gridCol w:w="851"/>
        <w:gridCol w:w="2239"/>
        <w:gridCol w:w="425"/>
      </w:tblGrid>
      <w:tr w:rsidR="00B84AE0" w:rsidRPr="00A41EF3" w:rsidTr="00B84AE0">
        <w:trPr>
          <w:cantSplit/>
        </w:trPr>
        <w:tc>
          <w:tcPr>
            <w:tcW w:w="10064" w:type="dxa"/>
            <w:gridSpan w:val="11"/>
          </w:tcPr>
          <w:p w:rsidR="00B84AE0" w:rsidRPr="00A41EF3" w:rsidRDefault="00B84AE0" w:rsidP="00B36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1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A41E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Signature</w:t>
            </w:r>
          </w:p>
        </w:tc>
      </w:tr>
      <w:tr w:rsidR="00B84AE0" w:rsidRPr="00A41EF3" w:rsidTr="00B84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"/>
        </w:trPr>
        <w:tc>
          <w:tcPr>
            <w:tcW w:w="45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84AE0" w:rsidRPr="00A41EF3" w:rsidRDefault="00B84AE0" w:rsidP="00B369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PJSC “</w:t>
            </w:r>
            <w:proofErr w:type="spellStart"/>
            <w:r w:rsidRPr="00A41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RussNeft</w:t>
            </w:r>
            <w:proofErr w:type="spellEnd"/>
            <w:r w:rsidRPr="00A41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” </w:t>
            </w:r>
            <w:proofErr w:type="spellStart"/>
            <w:r w:rsidRPr="00A41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Vice</w:t>
            </w:r>
            <w:proofErr w:type="spellEnd"/>
            <w:r w:rsidRPr="00A41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1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President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4AE0" w:rsidRPr="00A41EF3" w:rsidRDefault="00B84AE0" w:rsidP="00B36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4AE0" w:rsidRPr="00A41EF3" w:rsidRDefault="00B84AE0" w:rsidP="00B369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4AE0" w:rsidRPr="00A41EF3" w:rsidRDefault="00B84AE0" w:rsidP="00B36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84AE0" w:rsidRPr="00A41EF3" w:rsidRDefault="00B84AE0" w:rsidP="00B36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D.V. </w:t>
            </w:r>
            <w:proofErr w:type="spellStart"/>
            <w:r w:rsidRPr="00A41E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Romanov</w:t>
            </w:r>
            <w:proofErr w:type="spellEnd"/>
            <w:r w:rsidRPr="00A41E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84AE0" w:rsidRPr="00A41EF3" w:rsidRDefault="00B84AE0" w:rsidP="00B369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AE0" w:rsidRPr="00A41EF3" w:rsidTr="00B84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5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AE0" w:rsidRPr="00A41EF3" w:rsidRDefault="00B84AE0" w:rsidP="00B369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4AE0" w:rsidRPr="00A41EF3" w:rsidRDefault="00B84AE0" w:rsidP="00B36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41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signature</w:t>
            </w:r>
            <w:proofErr w:type="spellEnd"/>
            <w:r w:rsidRPr="00A41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84AE0" w:rsidRPr="00A41EF3" w:rsidRDefault="00B84AE0" w:rsidP="00B369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B84AE0" w:rsidRPr="00A41EF3" w:rsidRDefault="00B84AE0" w:rsidP="00B369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AE0" w:rsidRPr="00A41EF3" w:rsidRDefault="00B84AE0" w:rsidP="00B369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AE0" w:rsidRPr="00A41EF3" w:rsidTr="00B84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4AE0" w:rsidRPr="00A41EF3" w:rsidRDefault="00B84AE0" w:rsidP="00B369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3.2. </w:t>
            </w:r>
            <w:r w:rsidRPr="00A41E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Date</w:t>
            </w:r>
            <w:r w:rsidRPr="00A41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408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</w:t>
            </w:r>
            <w:r w:rsidRPr="00A41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E0" w:rsidRPr="00A41EF3" w:rsidRDefault="00AF7FBC" w:rsidP="00BA74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E0" w:rsidRPr="00A41EF3" w:rsidRDefault="00B84AE0" w:rsidP="00B369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E0" w:rsidRPr="00A41EF3" w:rsidRDefault="00AF7FBC" w:rsidP="00B36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September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E0" w:rsidRPr="00A41EF3" w:rsidRDefault="00B84AE0" w:rsidP="00B3695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AE0" w:rsidRPr="00A41EF3" w:rsidRDefault="00BA743C" w:rsidP="00B369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E0" w:rsidRPr="00A41EF3" w:rsidRDefault="00B84AE0" w:rsidP="00B369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AE0" w:rsidRPr="00A41EF3" w:rsidRDefault="00B84AE0" w:rsidP="00B36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84AE0" w:rsidRPr="00A41EF3" w:rsidRDefault="00B84AE0" w:rsidP="00B36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Seal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4AE0" w:rsidRPr="00A41EF3" w:rsidRDefault="00B84AE0" w:rsidP="00B369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AE0" w:rsidRPr="00A41EF3" w:rsidTr="00B84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4AE0" w:rsidRPr="00A41EF3" w:rsidRDefault="00B84AE0" w:rsidP="00B369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AE0" w:rsidRPr="00A41EF3" w:rsidRDefault="00B84AE0" w:rsidP="00B369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AE0" w:rsidRPr="00A41EF3" w:rsidRDefault="00B84AE0" w:rsidP="00B369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6075" w:rsidRPr="00AE6075" w:rsidRDefault="00AE6075" w:rsidP="00B84AE0">
      <w:pPr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sectPr w:rsidR="00AE6075" w:rsidRPr="00AE6075" w:rsidSect="00AE2B32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719D"/>
    <w:multiLevelType w:val="hybridMultilevel"/>
    <w:tmpl w:val="6884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33C61"/>
    <w:multiLevelType w:val="hybridMultilevel"/>
    <w:tmpl w:val="C49E8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623B1"/>
    <w:multiLevelType w:val="hybridMultilevel"/>
    <w:tmpl w:val="C6148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B39AB"/>
    <w:multiLevelType w:val="hybridMultilevel"/>
    <w:tmpl w:val="1428C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A596D"/>
    <w:multiLevelType w:val="hybridMultilevel"/>
    <w:tmpl w:val="76E23F1C"/>
    <w:lvl w:ilvl="0" w:tplc="97982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96C4D10"/>
    <w:multiLevelType w:val="multilevel"/>
    <w:tmpl w:val="260E378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6" w15:restartNumberingAfterBreak="0">
    <w:nsid w:val="2BA10CEE"/>
    <w:multiLevelType w:val="hybridMultilevel"/>
    <w:tmpl w:val="59A80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F4B73"/>
    <w:multiLevelType w:val="hybridMultilevel"/>
    <w:tmpl w:val="8126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F5583"/>
    <w:multiLevelType w:val="multilevel"/>
    <w:tmpl w:val="A4001C7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9" w15:restartNumberingAfterBreak="0">
    <w:nsid w:val="676F4DAE"/>
    <w:multiLevelType w:val="hybridMultilevel"/>
    <w:tmpl w:val="687A9D06"/>
    <w:lvl w:ilvl="0" w:tplc="093457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21B337C"/>
    <w:multiLevelType w:val="hybridMultilevel"/>
    <w:tmpl w:val="BB7C2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2402E"/>
    <w:multiLevelType w:val="hybridMultilevel"/>
    <w:tmpl w:val="687A9D06"/>
    <w:lvl w:ilvl="0" w:tplc="093457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10"/>
  </w:num>
  <w:num w:numId="9">
    <w:abstractNumId w:val="3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74"/>
    <w:rsid w:val="00014B59"/>
    <w:rsid w:val="00044D0C"/>
    <w:rsid w:val="00055E2B"/>
    <w:rsid w:val="00075B01"/>
    <w:rsid w:val="00077FDB"/>
    <w:rsid w:val="00096507"/>
    <w:rsid w:val="000A179D"/>
    <w:rsid w:val="000D30DB"/>
    <w:rsid w:val="000D316D"/>
    <w:rsid w:val="000E0CE6"/>
    <w:rsid w:val="000F34F4"/>
    <w:rsid w:val="001021B3"/>
    <w:rsid w:val="00121F05"/>
    <w:rsid w:val="0012454D"/>
    <w:rsid w:val="0013046B"/>
    <w:rsid w:val="00134A0B"/>
    <w:rsid w:val="00155B1F"/>
    <w:rsid w:val="00156DD2"/>
    <w:rsid w:val="00156EEF"/>
    <w:rsid w:val="00160D63"/>
    <w:rsid w:val="00167A0F"/>
    <w:rsid w:val="0017512E"/>
    <w:rsid w:val="0018340B"/>
    <w:rsid w:val="00186194"/>
    <w:rsid w:val="00193CFC"/>
    <w:rsid w:val="001A4677"/>
    <w:rsid w:val="001A7F2F"/>
    <w:rsid w:val="001C44B2"/>
    <w:rsid w:val="001E2259"/>
    <w:rsid w:val="00200EE3"/>
    <w:rsid w:val="002029F4"/>
    <w:rsid w:val="0021425F"/>
    <w:rsid w:val="002173C4"/>
    <w:rsid w:val="00223E5E"/>
    <w:rsid w:val="00226134"/>
    <w:rsid w:val="0023423B"/>
    <w:rsid w:val="0026543F"/>
    <w:rsid w:val="00267E50"/>
    <w:rsid w:val="002725E0"/>
    <w:rsid w:val="002951ED"/>
    <w:rsid w:val="0029678D"/>
    <w:rsid w:val="002A3586"/>
    <w:rsid w:val="002B3E4A"/>
    <w:rsid w:val="002D06D4"/>
    <w:rsid w:val="002D4880"/>
    <w:rsid w:val="002F2564"/>
    <w:rsid w:val="002F5049"/>
    <w:rsid w:val="00306D93"/>
    <w:rsid w:val="00310A53"/>
    <w:rsid w:val="0033127E"/>
    <w:rsid w:val="00353EDA"/>
    <w:rsid w:val="003921AB"/>
    <w:rsid w:val="00395E69"/>
    <w:rsid w:val="003974E6"/>
    <w:rsid w:val="00397ED0"/>
    <w:rsid w:val="003A5C25"/>
    <w:rsid w:val="003B30B7"/>
    <w:rsid w:val="003B5C89"/>
    <w:rsid w:val="003D2E1D"/>
    <w:rsid w:val="003D4BD3"/>
    <w:rsid w:val="003F7210"/>
    <w:rsid w:val="00401BA1"/>
    <w:rsid w:val="004051BA"/>
    <w:rsid w:val="00407CFC"/>
    <w:rsid w:val="00411C3D"/>
    <w:rsid w:val="00416FAC"/>
    <w:rsid w:val="00424854"/>
    <w:rsid w:val="00445B15"/>
    <w:rsid w:val="00454A85"/>
    <w:rsid w:val="00463313"/>
    <w:rsid w:val="00472F68"/>
    <w:rsid w:val="004819CB"/>
    <w:rsid w:val="0048573D"/>
    <w:rsid w:val="004911D8"/>
    <w:rsid w:val="004B74DB"/>
    <w:rsid w:val="004C3E15"/>
    <w:rsid w:val="004C5A11"/>
    <w:rsid w:val="004D0A8B"/>
    <w:rsid w:val="004E191A"/>
    <w:rsid w:val="00526BFA"/>
    <w:rsid w:val="00530066"/>
    <w:rsid w:val="00532A6C"/>
    <w:rsid w:val="00557A58"/>
    <w:rsid w:val="00565B05"/>
    <w:rsid w:val="00573C56"/>
    <w:rsid w:val="00583864"/>
    <w:rsid w:val="005A0C72"/>
    <w:rsid w:val="005B67F3"/>
    <w:rsid w:val="0060377B"/>
    <w:rsid w:val="00606CFD"/>
    <w:rsid w:val="00607A74"/>
    <w:rsid w:val="00624A5E"/>
    <w:rsid w:val="00640880"/>
    <w:rsid w:val="00651406"/>
    <w:rsid w:val="006557DA"/>
    <w:rsid w:val="00694D78"/>
    <w:rsid w:val="006A2848"/>
    <w:rsid w:val="006A3508"/>
    <w:rsid w:val="006D24E0"/>
    <w:rsid w:val="006D745B"/>
    <w:rsid w:val="006E3927"/>
    <w:rsid w:val="006F07BF"/>
    <w:rsid w:val="006F4A1A"/>
    <w:rsid w:val="00704044"/>
    <w:rsid w:val="00725E40"/>
    <w:rsid w:val="00735799"/>
    <w:rsid w:val="00761254"/>
    <w:rsid w:val="00783435"/>
    <w:rsid w:val="0079588C"/>
    <w:rsid w:val="007B1B5C"/>
    <w:rsid w:val="007C21BA"/>
    <w:rsid w:val="007D088B"/>
    <w:rsid w:val="007F1033"/>
    <w:rsid w:val="007F4666"/>
    <w:rsid w:val="00800E74"/>
    <w:rsid w:val="0081583D"/>
    <w:rsid w:val="00816487"/>
    <w:rsid w:val="0081687B"/>
    <w:rsid w:val="008260D6"/>
    <w:rsid w:val="008263EB"/>
    <w:rsid w:val="0084060C"/>
    <w:rsid w:val="00840D47"/>
    <w:rsid w:val="00842BCF"/>
    <w:rsid w:val="00847C2D"/>
    <w:rsid w:val="00852073"/>
    <w:rsid w:val="00854210"/>
    <w:rsid w:val="00857F2F"/>
    <w:rsid w:val="00861363"/>
    <w:rsid w:val="00863C73"/>
    <w:rsid w:val="00867AF0"/>
    <w:rsid w:val="00874A9C"/>
    <w:rsid w:val="008B10C1"/>
    <w:rsid w:val="008E0143"/>
    <w:rsid w:val="008E0497"/>
    <w:rsid w:val="008E32B5"/>
    <w:rsid w:val="008E5BF5"/>
    <w:rsid w:val="008F70AB"/>
    <w:rsid w:val="00901D62"/>
    <w:rsid w:val="00901FCB"/>
    <w:rsid w:val="00913143"/>
    <w:rsid w:val="00945BCC"/>
    <w:rsid w:val="0095577A"/>
    <w:rsid w:val="009832ED"/>
    <w:rsid w:val="009A4DF4"/>
    <w:rsid w:val="009C1BF3"/>
    <w:rsid w:val="009C5351"/>
    <w:rsid w:val="009D53E8"/>
    <w:rsid w:val="009E7321"/>
    <w:rsid w:val="009F28AA"/>
    <w:rsid w:val="00A13308"/>
    <w:rsid w:val="00A23D88"/>
    <w:rsid w:val="00A36F25"/>
    <w:rsid w:val="00A5118F"/>
    <w:rsid w:val="00A56C50"/>
    <w:rsid w:val="00A606B7"/>
    <w:rsid w:val="00A73DFF"/>
    <w:rsid w:val="00A90B29"/>
    <w:rsid w:val="00AD4CE6"/>
    <w:rsid w:val="00AE2B32"/>
    <w:rsid w:val="00AE601F"/>
    <w:rsid w:val="00AE6075"/>
    <w:rsid w:val="00AF7FBC"/>
    <w:rsid w:val="00B05499"/>
    <w:rsid w:val="00B13444"/>
    <w:rsid w:val="00B21FFB"/>
    <w:rsid w:val="00B343D2"/>
    <w:rsid w:val="00B46990"/>
    <w:rsid w:val="00B602E6"/>
    <w:rsid w:val="00B60C9F"/>
    <w:rsid w:val="00B7095D"/>
    <w:rsid w:val="00B730E9"/>
    <w:rsid w:val="00B81835"/>
    <w:rsid w:val="00B84AE0"/>
    <w:rsid w:val="00BA2E12"/>
    <w:rsid w:val="00BA473E"/>
    <w:rsid w:val="00BA743C"/>
    <w:rsid w:val="00BB5026"/>
    <w:rsid w:val="00BB5941"/>
    <w:rsid w:val="00BC2194"/>
    <w:rsid w:val="00BC7233"/>
    <w:rsid w:val="00BD2964"/>
    <w:rsid w:val="00C02BF8"/>
    <w:rsid w:val="00C1039A"/>
    <w:rsid w:val="00C163ED"/>
    <w:rsid w:val="00C373F2"/>
    <w:rsid w:val="00C419D0"/>
    <w:rsid w:val="00C50637"/>
    <w:rsid w:val="00C519D3"/>
    <w:rsid w:val="00C808B9"/>
    <w:rsid w:val="00CA0223"/>
    <w:rsid w:val="00CA103F"/>
    <w:rsid w:val="00CC5003"/>
    <w:rsid w:val="00CC5B84"/>
    <w:rsid w:val="00CC7A88"/>
    <w:rsid w:val="00CD176A"/>
    <w:rsid w:val="00CD4E3B"/>
    <w:rsid w:val="00D20C12"/>
    <w:rsid w:val="00D244E9"/>
    <w:rsid w:val="00D362F4"/>
    <w:rsid w:val="00D5313E"/>
    <w:rsid w:val="00D961A8"/>
    <w:rsid w:val="00DA0269"/>
    <w:rsid w:val="00DA3B78"/>
    <w:rsid w:val="00DB1339"/>
    <w:rsid w:val="00DB1958"/>
    <w:rsid w:val="00DB2FE7"/>
    <w:rsid w:val="00DB7256"/>
    <w:rsid w:val="00DD27E5"/>
    <w:rsid w:val="00DF1F14"/>
    <w:rsid w:val="00E0029D"/>
    <w:rsid w:val="00E14D3C"/>
    <w:rsid w:val="00E20E1A"/>
    <w:rsid w:val="00E26615"/>
    <w:rsid w:val="00E268ED"/>
    <w:rsid w:val="00E26C47"/>
    <w:rsid w:val="00E412E7"/>
    <w:rsid w:val="00E41B75"/>
    <w:rsid w:val="00E628D2"/>
    <w:rsid w:val="00E63F03"/>
    <w:rsid w:val="00E6400C"/>
    <w:rsid w:val="00E6434A"/>
    <w:rsid w:val="00E82F27"/>
    <w:rsid w:val="00EB498B"/>
    <w:rsid w:val="00EC161A"/>
    <w:rsid w:val="00EC3C0B"/>
    <w:rsid w:val="00ED5F7D"/>
    <w:rsid w:val="00EE3212"/>
    <w:rsid w:val="00F0456A"/>
    <w:rsid w:val="00F21764"/>
    <w:rsid w:val="00F34029"/>
    <w:rsid w:val="00F34951"/>
    <w:rsid w:val="00F3498A"/>
    <w:rsid w:val="00F36B9C"/>
    <w:rsid w:val="00F5326B"/>
    <w:rsid w:val="00F56CA2"/>
    <w:rsid w:val="00F623CA"/>
    <w:rsid w:val="00F7664B"/>
    <w:rsid w:val="00F846B7"/>
    <w:rsid w:val="00F854C7"/>
    <w:rsid w:val="00F91268"/>
    <w:rsid w:val="00F93CE9"/>
    <w:rsid w:val="00F969E0"/>
    <w:rsid w:val="00FA1104"/>
    <w:rsid w:val="00FB7B6A"/>
    <w:rsid w:val="00FC6F05"/>
    <w:rsid w:val="00FE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0A00B-5273-4236-A390-0622E18F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444"/>
    <w:pPr>
      <w:ind w:left="720"/>
      <w:contextualSpacing/>
    </w:pPr>
  </w:style>
  <w:style w:type="character" w:customStyle="1" w:styleId="SUBST">
    <w:name w:val="__SUBST"/>
    <w:uiPriority w:val="99"/>
    <w:rsid w:val="000F34F4"/>
    <w:rPr>
      <w:b/>
      <w:i/>
      <w:sz w:val="22"/>
    </w:rPr>
  </w:style>
  <w:style w:type="character" w:styleId="a4">
    <w:name w:val="Hyperlink"/>
    <w:basedOn w:val="a0"/>
    <w:uiPriority w:val="99"/>
    <w:rsid w:val="009D53E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4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2263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7597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sneft.ru/" TargetMode="External"/><Relationship Id="rId5" Type="http://schemas.openxmlformats.org/officeDocument/2006/relationships/hyperlink" Target="http://www.e-disclosure.ru/portal/company.aspx?id=5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2576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"Саратовнефтегаз"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Запольская Светлана Валентиновна</dc:creator>
  <cp:lastModifiedBy>Татевосова Мария Рудольфовна</cp:lastModifiedBy>
  <cp:revision>2</cp:revision>
  <cp:lastPrinted>2019-06-24T09:39:00Z</cp:lastPrinted>
  <dcterms:created xsi:type="dcterms:W3CDTF">2022-09-08T15:18:00Z</dcterms:created>
  <dcterms:modified xsi:type="dcterms:W3CDTF">2022-09-08T15:18:00Z</dcterms:modified>
</cp:coreProperties>
</file>