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3EF" w:rsidRDefault="006A2848" w:rsidP="008443EF">
      <w:pPr>
        <w:autoSpaceDE w:val="0"/>
        <w:autoSpaceDN w:val="0"/>
        <w:adjustRightInd w:val="0"/>
        <w:spacing w:after="0" w:line="240" w:lineRule="auto"/>
        <w:jc w:val="center"/>
        <w:outlineLvl w:val="0"/>
        <w:rPr>
          <w:rFonts w:ascii="Times New Roman" w:hAnsi="Times New Roman" w:cs="Times New Roman"/>
          <w:b/>
          <w:bCs/>
          <w:sz w:val="20"/>
          <w:szCs w:val="20"/>
        </w:rPr>
      </w:pPr>
      <w:r w:rsidRPr="00E42697">
        <w:rPr>
          <w:rFonts w:ascii="Times New Roman" w:hAnsi="Times New Roman" w:cs="Times New Roman"/>
          <w:b/>
          <w:bCs/>
          <w:color w:val="000000"/>
          <w:sz w:val="20"/>
          <w:szCs w:val="20"/>
        </w:rPr>
        <w:t xml:space="preserve">Сообщение </w:t>
      </w:r>
      <w:r w:rsidRPr="00E42697">
        <w:rPr>
          <w:rFonts w:ascii="Times New Roman" w:hAnsi="Times New Roman" w:cs="Times New Roman"/>
          <w:b/>
          <w:bCs/>
          <w:color w:val="000000"/>
          <w:sz w:val="20"/>
          <w:szCs w:val="20"/>
        </w:rPr>
        <w:br/>
      </w:r>
      <w:r w:rsidR="008443EF">
        <w:rPr>
          <w:rFonts w:ascii="Times New Roman" w:hAnsi="Times New Roman" w:cs="Times New Roman"/>
          <w:b/>
          <w:bCs/>
          <w:sz w:val="20"/>
          <w:szCs w:val="20"/>
        </w:rPr>
        <w:t>о дате, на которую определяются (фиксируются) лица, имеющие право на осуществление прав по ценным бумагам эмитента</w:t>
      </w:r>
    </w:p>
    <w:p w:rsidR="00AE6075" w:rsidRPr="00E42697" w:rsidRDefault="00AE6075" w:rsidP="003B5F42">
      <w:pPr>
        <w:autoSpaceDE w:val="0"/>
        <w:autoSpaceDN w:val="0"/>
        <w:adjustRightInd w:val="0"/>
        <w:spacing w:after="0" w:line="240" w:lineRule="auto"/>
        <w:ind w:firstLine="540"/>
        <w:jc w:val="center"/>
        <w:outlineLvl w:val="0"/>
        <w:rPr>
          <w:rFonts w:ascii="Times New Roman" w:hAnsi="Times New Roman" w:cs="Times New Roman"/>
          <w:b/>
          <w:bCs/>
          <w:sz w:val="20"/>
          <w:szCs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5954"/>
      </w:tblGrid>
      <w:tr w:rsidR="00DB2E14" w:rsidRPr="008443EF" w:rsidTr="007357BF">
        <w:tc>
          <w:tcPr>
            <w:tcW w:w="10518" w:type="dxa"/>
            <w:gridSpan w:val="2"/>
          </w:tcPr>
          <w:p w:rsidR="00DB2E14" w:rsidRPr="008443EF" w:rsidRDefault="00DB2E14" w:rsidP="00DB2E14">
            <w:pPr>
              <w:autoSpaceDE w:val="0"/>
              <w:autoSpaceDN w:val="0"/>
              <w:spacing w:after="0" w:line="240" w:lineRule="auto"/>
              <w:jc w:val="center"/>
              <w:rPr>
                <w:rFonts w:ascii="Times New Roman" w:eastAsia="Times New Roman" w:hAnsi="Times New Roman" w:cs="Times New Roman"/>
                <w:sz w:val="20"/>
                <w:szCs w:val="20"/>
                <w:lang w:eastAsia="ru-RU"/>
              </w:rPr>
            </w:pPr>
            <w:r w:rsidRPr="008443EF">
              <w:rPr>
                <w:rFonts w:ascii="Times New Roman" w:eastAsia="Times New Roman" w:hAnsi="Times New Roman" w:cs="Times New Roman"/>
                <w:sz w:val="20"/>
                <w:szCs w:val="20"/>
                <w:lang w:eastAsia="ru-RU"/>
              </w:rPr>
              <w:t>1. Общие сведения</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1.1. Полное фирменное наименование эмитента</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Публичное акционерное общество Нефтегазовая компания "</w:t>
            </w:r>
            <w:proofErr w:type="spellStart"/>
            <w:r w:rsidRPr="008443EF">
              <w:rPr>
                <w:rFonts w:ascii="Times New Roman" w:hAnsi="Times New Roman" w:cs="Times New Roman"/>
                <w:b/>
                <w:bCs/>
                <w:i/>
                <w:iCs/>
                <w:sz w:val="20"/>
                <w:szCs w:val="20"/>
              </w:rPr>
              <w:t>РуссНефть</w:t>
            </w:r>
            <w:proofErr w:type="spellEnd"/>
            <w:r w:rsidRPr="008443EF">
              <w:rPr>
                <w:rFonts w:ascii="Times New Roman" w:hAnsi="Times New Roman" w:cs="Times New Roman"/>
                <w:b/>
                <w:bCs/>
                <w:i/>
                <w:iCs/>
                <w:sz w:val="20"/>
                <w:szCs w:val="20"/>
              </w:rPr>
              <w:t>"</w:t>
            </w:r>
          </w:p>
        </w:tc>
      </w:tr>
      <w:tr w:rsidR="008443EF" w:rsidRPr="008443EF" w:rsidTr="007357BF">
        <w:tc>
          <w:tcPr>
            <w:tcW w:w="4564" w:type="dxa"/>
          </w:tcPr>
          <w:p w:rsidR="008443EF" w:rsidRPr="008443EF" w:rsidRDefault="008443EF" w:rsidP="008443EF">
            <w:pPr>
              <w:adjustRightInd w:val="0"/>
              <w:spacing w:after="0" w:line="240" w:lineRule="auto"/>
              <w:jc w:val="both"/>
              <w:rPr>
                <w:rFonts w:ascii="Times New Roman" w:hAnsi="Times New Roman" w:cs="Times New Roman"/>
                <w:sz w:val="20"/>
                <w:szCs w:val="20"/>
              </w:rPr>
            </w:pPr>
            <w:r w:rsidRPr="008443EF">
              <w:rPr>
                <w:rFonts w:ascii="Times New Roman" w:hAnsi="Times New Roman" w:cs="Times New Roman"/>
                <w:sz w:val="20"/>
                <w:szCs w:val="20"/>
              </w:rPr>
              <w:t>1.2. Адрес эмитента, указанный в едином государственном реестре юридических лиц</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115054, г. Москва, ул. Пятницкая, д. 69</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1.3. ОГРН эмитента</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1027717003467</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1.4. ИНН эмитента</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7717133960</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1.5. Уникальный код эмитента, присвоенный регистрирующим органом</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39134-Н</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1.6. Адрес страницы в сети Интернет, используемой эмитентом для раскрытия информации</w:t>
            </w:r>
          </w:p>
        </w:tc>
        <w:tc>
          <w:tcPr>
            <w:tcW w:w="5954" w:type="dxa"/>
          </w:tcPr>
          <w:p w:rsidR="008443EF" w:rsidRPr="008443EF" w:rsidRDefault="00764D0E" w:rsidP="008443EF">
            <w:pPr>
              <w:spacing w:after="0" w:line="240" w:lineRule="auto"/>
              <w:ind w:left="57"/>
              <w:rPr>
                <w:rFonts w:ascii="Times New Roman" w:hAnsi="Times New Roman" w:cs="Times New Roman"/>
                <w:b/>
                <w:i/>
                <w:sz w:val="20"/>
                <w:szCs w:val="20"/>
              </w:rPr>
            </w:pPr>
            <w:hyperlink r:id="rId5" w:history="1">
              <w:r w:rsidR="008443EF" w:rsidRPr="008443EF">
                <w:rPr>
                  <w:rStyle w:val="a4"/>
                  <w:rFonts w:ascii="Times New Roman" w:hAnsi="Times New Roman"/>
                  <w:b/>
                  <w:i/>
                  <w:sz w:val="20"/>
                  <w:szCs w:val="20"/>
                  <w:lang w:val="en-US"/>
                </w:rPr>
                <w:t>http</w:t>
              </w:r>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www</w:t>
              </w:r>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e</w:t>
              </w:r>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disclosure</w:t>
              </w:r>
              <w:r w:rsidR="008443EF" w:rsidRPr="008443EF">
                <w:rPr>
                  <w:rStyle w:val="a4"/>
                  <w:rFonts w:ascii="Times New Roman" w:hAnsi="Times New Roman"/>
                  <w:b/>
                  <w:i/>
                  <w:sz w:val="20"/>
                  <w:szCs w:val="20"/>
                </w:rPr>
                <w:t>.</w:t>
              </w:r>
              <w:proofErr w:type="spellStart"/>
              <w:r w:rsidR="008443EF" w:rsidRPr="008443EF">
                <w:rPr>
                  <w:rStyle w:val="a4"/>
                  <w:rFonts w:ascii="Times New Roman" w:hAnsi="Times New Roman"/>
                  <w:b/>
                  <w:i/>
                  <w:sz w:val="20"/>
                  <w:szCs w:val="20"/>
                  <w:lang w:val="en-US"/>
                </w:rPr>
                <w:t>ru</w:t>
              </w:r>
              <w:proofErr w:type="spellEnd"/>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portal</w:t>
              </w:r>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company</w:t>
              </w:r>
              <w:r w:rsidR="008443EF" w:rsidRPr="008443EF">
                <w:rPr>
                  <w:rStyle w:val="a4"/>
                  <w:rFonts w:ascii="Times New Roman" w:hAnsi="Times New Roman"/>
                  <w:b/>
                  <w:i/>
                  <w:sz w:val="20"/>
                  <w:szCs w:val="20"/>
                </w:rPr>
                <w:t>.</w:t>
              </w:r>
              <w:proofErr w:type="spellStart"/>
              <w:r w:rsidR="008443EF" w:rsidRPr="008443EF">
                <w:rPr>
                  <w:rStyle w:val="a4"/>
                  <w:rFonts w:ascii="Times New Roman" w:hAnsi="Times New Roman"/>
                  <w:b/>
                  <w:i/>
                  <w:sz w:val="20"/>
                  <w:szCs w:val="20"/>
                  <w:lang w:val="en-US"/>
                </w:rPr>
                <w:t>aspx</w:t>
              </w:r>
              <w:proofErr w:type="spellEnd"/>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id</w:t>
              </w:r>
              <w:r w:rsidR="008443EF" w:rsidRPr="008443EF">
                <w:rPr>
                  <w:rStyle w:val="a4"/>
                  <w:rFonts w:ascii="Times New Roman" w:hAnsi="Times New Roman"/>
                  <w:b/>
                  <w:i/>
                  <w:sz w:val="20"/>
                  <w:szCs w:val="20"/>
                </w:rPr>
                <w:t>=534</w:t>
              </w:r>
            </w:hyperlink>
            <w:r w:rsidR="008443EF" w:rsidRPr="008443EF">
              <w:rPr>
                <w:rFonts w:ascii="Times New Roman" w:hAnsi="Times New Roman" w:cs="Times New Roman"/>
                <w:b/>
                <w:i/>
                <w:sz w:val="20"/>
                <w:szCs w:val="20"/>
              </w:rPr>
              <w:t>;</w:t>
            </w:r>
          </w:p>
          <w:p w:rsidR="008443EF" w:rsidRPr="008443EF" w:rsidRDefault="00764D0E" w:rsidP="008443EF">
            <w:pPr>
              <w:spacing w:after="0" w:line="240" w:lineRule="auto"/>
              <w:ind w:left="57"/>
              <w:rPr>
                <w:rFonts w:ascii="Times New Roman" w:hAnsi="Times New Roman" w:cs="Times New Roman"/>
                <w:b/>
                <w:i/>
                <w:sz w:val="20"/>
                <w:szCs w:val="20"/>
              </w:rPr>
            </w:pPr>
            <w:hyperlink r:id="rId6" w:history="1">
              <w:r w:rsidR="008443EF" w:rsidRPr="008443EF">
                <w:rPr>
                  <w:rStyle w:val="a4"/>
                  <w:rFonts w:ascii="Times New Roman" w:hAnsi="Times New Roman"/>
                  <w:b/>
                  <w:i/>
                  <w:sz w:val="20"/>
                  <w:szCs w:val="20"/>
                </w:rPr>
                <w:t>http://www.russneft.ru/</w:t>
              </w:r>
            </w:hyperlink>
          </w:p>
        </w:tc>
      </w:tr>
      <w:tr w:rsidR="008443EF" w:rsidRPr="008443EF" w:rsidTr="00A16CD2">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1.7. Дата наступления события (существенного факта), о котором составлено сообщение (если применимо)</w:t>
            </w:r>
          </w:p>
        </w:tc>
        <w:tc>
          <w:tcPr>
            <w:tcW w:w="5954" w:type="dxa"/>
            <w:vAlign w:val="center"/>
          </w:tcPr>
          <w:p w:rsidR="008443EF" w:rsidRPr="0051483C" w:rsidRDefault="00ED5C4A" w:rsidP="008443EF">
            <w:pPr>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22.09.2023</w:t>
            </w:r>
          </w:p>
        </w:tc>
      </w:tr>
    </w:tbl>
    <w:p w:rsidR="00AE6075" w:rsidRPr="00AE6075" w:rsidRDefault="00AE6075" w:rsidP="00AE6075">
      <w:pPr>
        <w:autoSpaceDE w:val="0"/>
        <w:autoSpaceDN w:val="0"/>
        <w:spacing w:after="0" w:line="240" w:lineRule="auto"/>
        <w:rPr>
          <w:rFonts w:ascii="Times New Roman" w:eastAsia="Times New Roman" w:hAnsi="Times New Roman" w:cs="Times New Roman"/>
          <w:lang w:eastAsia="ru-RU"/>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90"/>
      </w:tblGrid>
      <w:tr w:rsidR="00AE6075" w:rsidRPr="006A2848" w:rsidTr="00DB2E14">
        <w:tc>
          <w:tcPr>
            <w:tcW w:w="10490" w:type="dxa"/>
          </w:tcPr>
          <w:p w:rsidR="00AE6075" w:rsidRPr="006A2848" w:rsidRDefault="00AE6075" w:rsidP="00AE6075">
            <w:pPr>
              <w:autoSpaceDE w:val="0"/>
              <w:autoSpaceDN w:val="0"/>
              <w:spacing w:after="0" w:line="240" w:lineRule="auto"/>
              <w:jc w:val="center"/>
              <w:rPr>
                <w:rFonts w:ascii="Times New Roman" w:eastAsia="Times New Roman" w:hAnsi="Times New Roman" w:cs="Times New Roman"/>
                <w:sz w:val="20"/>
                <w:szCs w:val="20"/>
                <w:lang w:eastAsia="ru-RU"/>
              </w:rPr>
            </w:pPr>
            <w:r w:rsidRPr="006A2848">
              <w:rPr>
                <w:rFonts w:ascii="Times New Roman" w:eastAsia="Times New Roman" w:hAnsi="Times New Roman" w:cs="Times New Roman"/>
                <w:sz w:val="20"/>
                <w:szCs w:val="20"/>
                <w:lang w:eastAsia="ru-RU"/>
              </w:rPr>
              <w:t>2. Содержание сообщения</w:t>
            </w:r>
          </w:p>
        </w:tc>
      </w:tr>
      <w:tr w:rsidR="00AE6075" w:rsidRPr="006A2848" w:rsidTr="00DB2E14">
        <w:tc>
          <w:tcPr>
            <w:tcW w:w="10490" w:type="dxa"/>
          </w:tcPr>
          <w:p w:rsidR="00A75737" w:rsidRPr="00A44556" w:rsidRDefault="00693246" w:rsidP="003B5F42">
            <w:pPr>
              <w:autoSpaceDE w:val="0"/>
              <w:autoSpaceDN w:val="0"/>
              <w:adjustRightInd w:val="0"/>
              <w:spacing w:after="0" w:line="240" w:lineRule="auto"/>
              <w:jc w:val="both"/>
              <w:rPr>
                <w:rFonts w:ascii="Times New Roman" w:hAnsi="Times New Roman" w:cs="Times New Roman"/>
                <w:b/>
                <w:i/>
                <w:iCs/>
                <w:sz w:val="20"/>
                <w:szCs w:val="20"/>
              </w:rPr>
            </w:pPr>
            <w:r w:rsidRPr="006D7CCB">
              <w:rPr>
                <w:rFonts w:ascii="Times New Roman" w:hAnsi="Times New Roman" w:cs="Times New Roman"/>
                <w:sz w:val="20"/>
                <w:szCs w:val="20"/>
              </w:rPr>
              <w:t>2.1.</w:t>
            </w:r>
            <w:r w:rsidR="00764D0E">
              <w:rPr>
                <w:rFonts w:ascii="Times New Roman" w:hAnsi="Times New Roman" w:cs="Times New Roman"/>
                <w:sz w:val="20"/>
                <w:szCs w:val="20"/>
              </w:rPr>
              <w:t xml:space="preserve"> И</w:t>
            </w:r>
            <w:r w:rsidR="00764D0E" w:rsidRPr="00764D0E">
              <w:rPr>
                <w:rFonts w:ascii="Times New Roman" w:hAnsi="Times New Roman" w:cs="Times New Roman"/>
                <w:sz w:val="20"/>
                <w:szCs w:val="20"/>
              </w:rPr>
              <w:t>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w:t>
            </w:r>
            <w:r w:rsidRPr="006D7CCB">
              <w:rPr>
                <w:rFonts w:ascii="Times New Roman" w:hAnsi="Times New Roman" w:cs="Times New Roman"/>
                <w:sz w:val="20"/>
                <w:szCs w:val="20"/>
              </w:rPr>
              <w:t xml:space="preserve">: </w:t>
            </w:r>
            <w:r w:rsidR="00EA478E" w:rsidRPr="00EA478E">
              <w:rPr>
                <w:rFonts w:ascii="Times New Roman" w:hAnsi="Times New Roman" w:cs="Times New Roman"/>
                <w:b/>
                <w:i/>
                <w:sz w:val="20"/>
                <w:szCs w:val="20"/>
              </w:rPr>
              <w:t>акции привилегированные именные бездокументарные, государственный регистрационный номер 2-03-39134-Н, дата государственной регистрации 28.11.2019, международный код (номер) идентификации ценных бумаг (ISIN): RU000A1014F0; международный код классификации финансовых инструментов (CFI): EPXXXR</w:t>
            </w:r>
            <w:r w:rsidR="000D078F" w:rsidRPr="000D078F">
              <w:rPr>
                <w:rFonts w:ascii="Times New Roman" w:hAnsi="Times New Roman" w:cs="Times New Roman"/>
                <w:b/>
                <w:i/>
                <w:sz w:val="20"/>
                <w:szCs w:val="20"/>
              </w:rPr>
              <w:t>.</w:t>
            </w:r>
          </w:p>
          <w:p w:rsidR="00693246" w:rsidRPr="006D7CCB" w:rsidRDefault="00693246" w:rsidP="003B5F42">
            <w:pPr>
              <w:autoSpaceDE w:val="0"/>
              <w:autoSpaceDN w:val="0"/>
              <w:adjustRightInd w:val="0"/>
              <w:spacing w:after="0" w:line="240" w:lineRule="auto"/>
              <w:jc w:val="both"/>
              <w:rPr>
                <w:rFonts w:ascii="Times New Roman" w:hAnsi="Times New Roman" w:cs="Times New Roman"/>
                <w:sz w:val="20"/>
                <w:szCs w:val="20"/>
              </w:rPr>
            </w:pPr>
            <w:r w:rsidRPr="006D7CCB">
              <w:rPr>
                <w:rFonts w:ascii="Times New Roman" w:hAnsi="Times New Roman" w:cs="Times New Roman"/>
                <w:sz w:val="20"/>
                <w:szCs w:val="20"/>
              </w:rPr>
              <w:t xml:space="preserve">2.2. </w:t>
            </w:r>
            <w:r w:rsidR="008443EF" w:rsidRPr="008443EF">
              <w:rPr>
                <w:rFonts w:ascii="Times New Roman" w:hAnsi="Times New Roman" w:cs="Times New Roman"/>
                <w:bCs/>
                <w:sz w:val="20"/>
                <w:szCs w:val="20"/>
              </w:rPr>
              <w:t>Права по ценным бумагам эмитента, в отношении которых устанавливается дата, на которую определяются (фиксируются) лица, имеющие право на их осуществление</w:t>
            </w:r>
            <w:r w:rsidR="003B5F42" w:rsidRPr="006D7CCB">
              <w:rPr>
                <w:rFonts w:ascii="Times New Roman" w:hAnsi="Times New Roman" w:cs="Times New Roman"/>
                <w:sz w:val="20"/>
                <w:szCs w:val="20"/>
              </w:rPr>
              <w:t xml:space="preserve">: </w:t>
            </w:r>
            <w:r w:rsidRPr="006D7CCB">
              <w:rPr>
                <w:rFonts w:ascii="Times New Roman" w:hAnsi="Times New Roman" w:cs="Times New Roman"/>
                <w:b/>
                <w:i/>
                <w:sz w:val="20"/>
                <w:szCs w:val="20"/>
              </w:rPr>
              <w:t>право на получение дивидендов по итогам 20</w:t>
            </w:r>
            <w:r w:rsidR="00CC6C37">
              <w:rPr>
                <w:rFonts w:ascii="Times New Roman" w:hAnsi="Times New Roman" w:cs="Times New Roman"/>
                <w:b/>
                <w:i/>
                <w:sz w:val="20"/>
                <w:szCs w:val="20"/>
              </w:rPr>
              <w:t>2</w:t>
            </w:r>
            <w:r w:rsidR="000D078F">
              <w:rPr>
                <w:rFonts w:ascii="Times New Roman" w:hAnsi="Times New Roman" w:cs="Times New Roman"/>
                <w:b/>
                <w:i/>
                <w:sz w:val="20"/>
                <w:szCs w:val="20"/>
              </w:rPr>
              <w:t>2</w:t>
            </w:r>
            <w:r w:rsidRPr="006D7CCB">
              <w:rPr>
                <w:rFonts w:ascii="Times New Roman" w:hAnsi="Times New Roman" w:cs="Times New Roman"/>
                <w:b/>
                <w:i/>
                <w:sz w:val="20"/>
                <w:szCs w:val="20"/>
              </w:rPr>
              <w:t xml:space="preserve"> года. </w:t>
            </w:r>
          </w:p>
          <w:p w:rsidR="00693246" w:rsidRPr="00764D0E" w:rsidRDefault="00693246" w:rsidP="003B5F42">
            <w:pPr>
              <w:autoSpaceDE w:val="0"/>
              <w:autoSpaceDN w:val="0"/>
              <w:adjustRightInd w:val="0"/>
              <w:spacing w:after="0" w:line="240" w:lineRule="auto"/>
              <w:jc w:val="both"/>
              <w:rPr>
                <w:rFonts w:ascii="Times New Roman" w:hAnsi="Times New Roman" w:cs="Times New Roman"/>
                <w:b/>
                <w:i/>
                <w:sz w:val="20"/>
                <w:szCs w:val="20"/>
              </w:rPr>
            </w:pPr>
            <w:r w:rsidRPr="006D7CCB">
              <w:rPr>
                <w:rFonts w:ascii="Times New Roman" w:hAnsi="Times New Roman" w:cs="Times New Roman"/>
                <w:sz w:val="20"/>
                <w:szCs w:val="20"/>
              </w:rPr>
              <w:t xml:space="preserve">2.3 </w:t>
            </w:r>
            <w:r w:rsidR="008443EF" w:rsidRPr="008443EF">
              <w:rPr>
                <w:rFonts w:ascii="Times New Roman" w:hAnsi="Times New Roman" w:cs="Times New Roman"/>
                <w:bCs/>
                <w:sz w:val="20"/>
                <w:szCs w:val="20"/>
              </w:rPr>
              <w:t>Дата, на которую определяются (фиксируются) лица, имеющие право на осуществление прав по ценным бумагам эмитента</w:t>
            </w:r>
            <w:r w:rsidRPr="006D7CCB">
              <w:rPr>
                <w:rFonts w:ascii="Times New Roman" w:hAnsi="Times New Roman" w:cs="Times New Roman"/>
                <w:sz w:val="20"/>
                <w:szCs w:val="20"/>
              </w:rPr>
              <w:t xml:space="preserve">: </w:t>
            </w:r>
            <w:r w:rsidR="004B4E05" w:rsidRPr="00764D0E">
              <w:rPr>
                <w:rFonts w:ascii="Times New Roman" w:hAnsi="Times New Roman" w:cs="Times New Roman"/>
                <w:b/>
                <w:i/>
                <w:sz w:val="20"/>
                <w:szCs w:val="20"/>
              </w:rPr>
              <w:t>10.10.2023</w:t>
            </w:r>
            <w:r w:rsidRPr="00764D0E">
              <w:rPr>
                <w:rFonts w:ascii="Times New Roman" w:hAnsi="Times New Roman" w:cs="Times New Roman"/>
                <w:b/>
                <w:i/>
                <w:sz w:val="20"/>
                <w:szCs w:val="20"/>
              </w:rPr>
              <w:t xml:space="preserve">. </w:t>
            </w:r>
          </w:p>
          <w:p w:rsidR="008443EF" w:rsidRPr="008443EF" w:rsidRDefault="00693246" w:rsidP="000D078F">
            <w:pPr>
              <w:autoSpaceDE w:val="0"/>
              <w:autoSpaceDN w:val="0"/>
              <w:adjustRightInd w:val="0"/>
              <w:spacing w:after="0" w:line="240" w:lineRule="auto"/>
              <w:jc w:val="both"/>
              <w:rPr>
                <w:rFonts w:ascii="Times New Roman" w:hAnsi="Times New Roman" w:cs="Times New Roman"/>
                <w:b/>
                <w:i/>
                <w:sz w:val="20"/>
                <w:szCs w:val="20"/>
              </w:rPr>
            </w:pPr>
            <w:r w:rsidRPr="006D7CCB">
              <w:rPr>
                <w:rFonts w:ascii="Times New Roman" w:hAnsi="Times New Roman" w:cs="Times New Roman"/>
                <w:sz w:val="20"/>
                <w:szCs w:val="20"/>
              </w:rPr>
              <w:t xml:space="preserve">2.4 </w:t>
            </w:r>
            <w:r w:rsidR="008443EF" w:rsidRPr="008443EF">
              <w:rPr>
                <w:rFonts w:ascii="Times New Roman" w:hAnsi="Times New Roman" w:cs="Times New Roman"/>
                <w:bCs/>
                <w:sz w:val="20"/>
                <w:szCs w:val="20"/>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Pr="006D7CCB">
              <w:rPr>
                <w:rFonts w:ascii="Times New Roman" w:hAnsi="Times New Roman" w:cs="Times New Roman"/>
                <w:sz w:val="20"/>
                <w:szCs w:val="20"/>
              </w:rPr>
              <w:t xml:space="preserve">: </w:t>
            </w:r>
            <w:r w:rsidRPr="006D7CCB">
              <w:rPr>
                <w:rFonts w:ascii="Times New Roman" w:hAnsi="Times New Roman" w:cs="Times New Roman"/>
                <w:b/>
                <w:i/>
                <w:sz w:val="20"/>
                <w:szCs w:val="20"/>
              </w:rPr>
              <w:t xml:space="preserve">дата составления </w:t>
            </w:r>
            <w:r w:rsidR="00915C00">
              <w:rPr>
                <w:rFonts w:ascii="Times New Roman" w:hAnsi="Times New Roman" w:cs="Times New Roman"/>
                <w:b/>
                <w:i/>
                <w:sz w:val="20"/>
                <w:szCs w:val="20"/>
              </w:rPr>
              <w:t>п</w:t>
            </w:r>
            <w:r w:rsidRPr="006D7CCB">
              <w:rPr>
                <w:rFonts w:ascii="Times New Roman" w:hAnsi="Times New Roman" w:cs="Times New Roman"/>
                <w:b/>
                <w:i/>
                <w:sz w:val="20"/>
                <w:szCs w:val="20"/>
              </w:rPr>
              <w:t xml:space="preserve">ротокола </w:t>
            </w:r>
            <w:r w:rsidR="000D078F">
              <w:rPr>
                <w:rFonts w:ascii="Times New Roman" w:hAnsi="Times New Roman" w:cs="Times New Roman"/>
                <w:b/>
                <w:i/>
                <w:sz w:val="20"/>
                <w:szCs w:val="20"/>
              </w:rPr>
              <w:t>внеочередного</w:t>
            </w:r>
            <w:r w:rsidRPr="006D7CCB">
              <w:rPr>
                <w:rFonts w:ascii="Times New Roman" w:hAnsi="Times New Roman" w:cs="Times New Roman"/>
                <w:b/>
                <w:i/>
                <w:sz w:val="20"/>
                <w:szCs w:val="20"/>
              </w:rPr>
              <w:t xml:space="preserve"> общего собрания акционеров </w:t>
            </w:r>
            <w:r w:rsidR="000D078F">
              <w:rPr>
                <w:rFonts w:ascii="Times New Roman" w:hAnsi="Times New Roman" w:cs="Times New Roman"/>
                <w:b/>
                <w:i/>
                <w:sz w:val="20"/>
                <w:szCs w:val="20"/>
              </w:rPr>
              <w:t>–</w:t>
            </w:r>
            <w:r w:rsidRPr="006D7CCB">
              <w:rPr>
                <w:rFonts w:ascii="Times New Roman" w:hAnsi="Times New Roman" w:cs="Times New Roman"/>
                <w:b/>
                <w:i/>
                <w:sz w:val="20"/>
                <w:szCs w:val="20"/>
              </w:rPr>
              <w:t xml:space="preserve"> </w:t>
            </w:r>
            <w:r w:rsidR="000D078F">
              <w:rPr>
                <w:rFonts w:ascii="Times New Roman" w:hAnsi="Times New Roman" w:cs="Times New Roman"/>
                <w:b/>
                <w:i/>
                <w:sz w:val="20"/>
                <w:szCs w:val="20"/>
              </w:rPr>
              <w:t>22.09.2023</w:t>
            </w:r>
            <w:r w:rsidRPr="00745752">
              <w:rPr>
                <w:rFonts w:ascii="Times New Roman" w:hAnsi="Times New Roman" w:cs="Times New Roman"/>
                <w:b/>
                <w:i/>
                <w:sz w:val="20"/>
                <w:szCs w:val="20"/>
              </w:rPr>
              <w:t>, П</w:t>
            </w:r>
            <w:bookmarkStart w:id="0" w:name="_GoBack"/>
            <w:r w:rsidRPr="00764D0E">
              <w:rPr>
                <w:rFonts w:ascii="Times New Roman" w:hAnsi="Times New Roman" w:cs="Times New Roman"/>
                <w:b/>
                <w:i/>
                <w:sz w:val="20"/>
                <w:szCs w:val="20"/>
              </w:rPr>
              <w:t>ротокол</w:t>
            </w:r>
            <w:bookmarkEnd w:id="0"/>
            <w:r w:rsidRPr="000D078F">
              <w:rPr>
                <w:rFonts w:ascii="Times New Roman" w:hAnsi="Times New Roman" w:cs="Times New Roman"/>
                <w:b/>
                <w:i/>
                <w:color w:val="FF0000"/>
                <w:sz w:val="20"/>
                <w:szCs w:val="20"/>
              </w:rPr>
              <w:t xml:space="preserve"> </w:t>
            </w:r>
            <w:r w:rsidRPr="00745752">
              <w:rPr>
                <w:rFonts w:ascii="Times New Roman" w:hAnsi="Times New Roman" w:cs="Times New Roman"/>
                <w:b/>
                <w:i/>
                <w:sz w:val="20"/>
                <w:szCs w:val="20"/>
              </w:rPr>
              <w:t xml:space="preserve">№ </w:t>
            </w:r>
            <w:r w:rsidR="00E42697">
              <w:rPr>
                <w:rFonts w:ascii="Times New Roman" w:hAnsi="Times New Roman" w:cs="Times New Roman"/>
                <w:b/>
                <w:i/>
                <w:sz w:val="20"/>
                <w:szCs w:val="20"/>
              </w:rPr>
              <w:t>б/н</w:t>
            </w:r>
            <w:r w:rsidRPr="00745752">
              <w:rPr>
                <w:rFonts w:ascii="Times New Roman" w:hAnsi="Times New Roman" w:cs="Times New Roman"/>
                <w:b/>
                <w:i/>
                <w:sz w:val="20"/>
                <w:szCs w:val="20"/>
              </w:rPr>
              <w:t>.</w:t>
            </w:r>
          </w:p>
        </w:tc>
      </w:tr>
    </w:tbl>
    <w:p w:rsidR="00AE6075" w:rsidRPr="00AE6075" w:rsidRDefault="00AE6075" w:rsidP="00AE6075">
      <w:pPr>
        <w:autoSpaceDE w:val="0"/>
        <w:autoSpaceDN w:val="0"/>
        <w:spacing w:after="0" w:line="240" w:lineRule="auto"/>
        <w:rPr>
          <w:rFonts w:ascii="Times New Roman" w:eastAsia="Times New Roman" w:hAnsi="Times New Roman" w:cs="Times New Roman"/>
          <w:lang w:eastAsia="ru-RU"/>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2"/>
        <w:gridCol w:w="448"/>
        <w:gridCol w:w="293"/>
        <w:gridCol w:w="1318"/>
        <w:gridCol w:w="415"/>
        <w:gridCol w:w="307"/>
        <w:gridCol w:w="412"/>
        <w:gridCol w:w="1984"/>
        <w:gridCol w:w="851"/>
        <w:gridCol w:w="2239"/>
        <w:gridCol w:w="851"/>
      </w:tblGrid>
      <w:tr w:rsidR="00AE6075" w:rsidRPr="00DD55E7" w:rsidTr="00DB2E14">
        <w:trPr>
          <w:cantSplit/>
        </w:trPr>
        <w:tc>
          <w:tcPr>
            <w:tcW w:w="10490" w:type="dxa"/>
            <w:gridSpan w:val="11"/>
          </w:tcPr>
          <w:p w:rsidR="00AE6075" w:rsidRPr="00DD55E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3. Подпись</w:t>
            </w:r>
          </w:p>
        </w:tc>
      </w:tr>
      <w:tr w:rsidR="00AE6075" w:rsidRPr="00DD55E7" w:rsidTr="00DB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3"/>
        </w:trPr>
        <w:tc>
          <w:tcPr>
            <w:tcW w:w="4565" w:type="dxa"/>
            <w:gridSpan w:val="7"/>
            <w:tcBorders>
              <w:top w:val="single" w:sz="4" w:space="0" w:color="auto"/>
              <w:left w:val="single" w:sz="4" w:space="0" w:color="auto"/>
              <w:bottom w:val="nil"/>
              <w:right w:val="nil"/>
            </w:tcBorders>
            <w:vAlign w:val="bottom"/>
          </w:tcPr>
          <w:p w:rsidR="00AE6075" w:rsidRPr="00E42697" w:rsidRDefault="00AE6075" w:rsidP="00E42697">
            <w:pPr>
              <w:widowControl w:val="0"/>
              <w:autoSpaceDE w:val="0"/>
              <w:autoSpaceDN w:val="0"/>
              <w:spacing w:after="0" w:line="240" w:lineRule="auto"/>
              <w:rPr>
                <w:rFonts w:ascii="Times New Roman" w:eastAsia="Times New Roman" w:hAnsi="Times New Roman" w:cs="Times New Roman"/>
                <w:sz w:val="20"/>
                <w:szCs w:val="20"/>
                <w:lang w:eastAsia="ru-RU"/>
              </w:rPr>
            </w:pPr>
            <w:r w:rsidRPr="00E42697">
              <w:rPr>
                <w:rFonts w:ascii="Times New Roman" w:eastAsia="Times New Roman" w:hAnsi="Times New Roman" w:cs="Times New Roman"/>
                <w:sz w:val="20"/>
                <w:szCs w:val="20"/>
                <w:lang w:eastAsia="ru-RU"/>
              </w:rPr>
              <w:t xml:space="preserve">3.1. </w:t>
            </w:r>
            <w:r w:rsidR="00E42697" w:rsidRPr="00E42697">
              <w:rPr>
                <w:rFonts w:ascii="Times New Roman" w:eastAsia="Times New Roman" w:hAnsi="Times New Roman" w:cs="Times New Roman"/>
                <w:sz w:val="20"/>
                <w:szCs w:val="20"/>
                <w:lang w:eastAsia="ru-RU"/>
              </w:rPr>
              <w:t>Вице-президент ПАО НК «РуссНефть»</w:t>
            </w:r>
          </w:p>
        </w:tc>
        <w:tc>
          <w:tcPr>
            <w:tcW w:w="1984" w:type="dxa"/>
            <w:tcBorders>
              <w:top w:val="single" w:sz="4" w:space="0" w:color="auto"/>
              <w:left w:val="nil"/>
              <w:bottom w:val="single" w:sz="4" w:space="0" w:color="auto"/>
              <w:right w:val="nil"/>
            </w:tcBorders>
            <w:vAlign w:val="bottom"/>
          </w:tcPr>
          <w:p w:rsidR="00AE6075" w:rsidRPr="00E4269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nil"/>
              <w:right w:val="nil"/>
            </w:tcBorders>
            <w:vAlign w:val="bottom"/>
          </w:tcPr>
          <w:p w:rsidR="00AE6075" w:rsidRPr="00E4269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39" w:type="dxa"/>
            <w:tcBorders>
              <w:top w:val="single" w:sz="4" w:space="0" w:color="auto"/>
              <w:left w:val="nil"/>
              <w:bottom w:val="nil"/>
              <w:right w:val="nil"/>
            </w:tcBorders>
            <w:vAlign w:val="bottom"/>
          </w:tcPr>
          <w:p w:rsidR="00AE6075" w:rsidRPr="00E42697" w:rsidRDefault="00AE6075" w:rsidP="00AE6075">
            <w:pPr>
              <w:widowControl w:val="0"/>
              <w:autoSpaceDE w:val="0"/>
              <w:autoSpaceDN w:val="0"/>
              <w:spacing w:after="0" w:line="240" w:lineRule="auto"/>
              <w:jc w:val="center"/>
              <w:rPr>
                <w:rFonts w:ascii="Times New Roman" w:eastAsia="Times New Roman" w:hAnsi="Times New Roman" w:cs="Times New Roman"/>
                <w:bCs/>
                <w:sz w:val="20"/>
                <w:szCs w:val="20"/>
                <w:lang w:eastAsia="ru-RU"/>
              </w:rPr>
            </w:pPr>
          </w:p>
          <w:p w:rsidR="00AE6075" w:rsidRPr="00E42697" w:rsidRDefault="00E42697"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697">
              <w:rPr>
                <w:rFonts w:ascii="Times New Roman" w:eastAsia="Times New Roman" w:hAnsi="Times New Roman" w:cs="Times New Roman"/>
                <w:bCs/>
                <w:sz w:val="20"/>
                <w:szCs w:val="20"/>
                <w:lang w:eastAsia="ru-RU"/>
              </w:rPr>
              <w:t>Д.В. Романов</w:t>
            </w:r>
            <w:r w:rsidR="00AE6075" w:rsidRPr="00E42697">
              <w:rPr>
                <w:rFonts w:ascii="Times New Roman" w:eastAsia="Times New Roman" w:hAnsi="Times New Roman" w:cs="Times New Roman"/>
                <w:bCs/>
                <w:sz w:val="20"/>
                <w:szCs w:val="20"/>
                <w:lang w:eastAsia="ru-RU"/>
              </w:rPr>
              <w:t xml:space="preserve">                       </w:t>
            </w:r>
          </w:p>
        </w:tc>
        <w:tc>
          <w:tcPr>
            <w:tcW w:w="851" w:type="dxa"/>
            <w:tcBorders>
              <w:top w:val="single" w:sz="4" w:space="0" w:color="auto"/>
              <w:left w:val="nil"/>
              <w:bottom w:val="nil"/>
              <w:right w:val="single" w:sz="4" w:space="0" w:color="auto"/>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E6075" w:rsidRPr="00DD55E7" w:rsidTr="00DB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565" w:type="dxa"/>
            <w:gridSpan w:val="7"/>
            <w:tcBorders>
              <w:top w:val="nil"/>
              <w:left w:val="single" w:sz="4" w:space="0" w:color="auto"/>
              <w:bottom w:val="nil"/>
              <w:right w:val="nil"/>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AE6075" w:rsidRPr="00DD55E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(подпись)</w:t>
            </w:r>
          </w:p>
        </w:tc>
        <w:tc>
          <w:tcPr>
            <w:tcW w:w="851" w:type="dxa"/>
            <w:tcBorders>
              <w:top w:val="nil"/>
              <w:left w:val="nil"/>
              <w:bottom w:val="nil"/>
              <w:right w:val="nil"/>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39" w:type="dxa"/>
            <w:tcBorders>
              <w:top w:val="nil"/>
              <w:left w:val="nil"/>
              <w:bottom w:val="nil"/>
              <w:right w:val="nil"/>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single" w:sz="4" w:space="0" w:color="auto"/>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E6075" w:rsidRPr="00DD55E7" w:rsidTr="00DB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72" w:type="dxa"/>
            <w:tcBorders>
              <w:top w:val="nil"/>
              <w:left w:val="single" w:sz="4" w:space="0" w:color="auto"/>
              <w:bottom w:val="nil"/>
              <w:right w:val="nil"/>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3.2. Дата “</w:t>
            </w:r>
          </w:p>
        </w:tc>
        <w:tc>
          <w:tcPr>
            <w:tcW w:w="448" w:type="dxa"/>
            <w:tcBorders>
              <w:top w:val="nil"/>
              <w:left w:val="nil"/>
              <w:bottom w:val="single" w:sz="4" w:space="0" w:color="auto"/>
              <w:right w:val="nil"/>
            </w:tcBorders>
            <w:vAlign w:val="bottom"/>
          </w:tcPr>
          <w:p w:rsidR="00AE6075" w:rsidRPr="0096367A" w:rsidRDefault="000D078F" w:rsidP="00AA78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293" w:type="dxa"/>
            <w:tcBorders>
              <w:top w:val="nil"/>
              <w:left w:val="nil"/>
              <w:bottom w:val="nil"/>
              <w:right w:val="nil"/>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w:t>
            </w:r>
          </w:p>
        </w:tc>
        <w:tc>
          <w:tcPr>
            <w:tcW w:w="1318" w:type="dxa"/>
            <w:tcBorders>
              <w:top w:val="nil"/>
              <w:left w:val="nil"/>
              <w:bottom w:val="single" w:sz="4" w:space="0" w:color="auto"/>
              <w:right w:val="nil"/>
            </w:tcBorders>
            <w:vAlign w:val="bottom"/>
          </w:tcPr>
          <w:p w:rsidR="00AE6075" w:rsidRPr="00DD55E7" w:rsidRDefault="000D078F" w:rsidP="00E606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сентября</w:t>
            </w:r>
          </w:p>
        </w:tc>
        <w:tc>
          <w:tcPr>
            <w:tcW w:w="415" w:type="dxa"/>
            <w:tcBorders>
              <w:top w:val="nil"/>
              <w:left w:val="nil"/>
              <w:bottom w:val="nil"/>
              <w:right w:val="nil"/>
            </w:tcBorders>
            <w:vAlign w:val="bottom"/>
          </w:tcPr>
          <w:p w:rsidR="00AE6075" w:rsidRPr="00DD55E7" w:rsidRDefault="00AE6075" w:rsidP="00AE607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20</w:t>
            </w:r>
          </w:p>
        </w:tc>
        <w:tc>
          <w:tcPr>
            <w:tcW w:w="307" w:type="dxa"/>
            <w:tcBorders>
              <w:top w:val="nil"/>
              <w:left w:val="nil"/>
              <w:bottom w:val="single" w:sz="4" w:space="0" w:color="auto"/>
              <w:right w:val="nil"/>
            </w:tcBorders>
            <w:vAlign w:val="bottom"/>
          </w:tcPr>
          <w:p w:rsidR="00AE6075" w:rsidRPr="003823E5" w:rsidRDefault="0096367A" w:rsidP="00344FDC">
            <w:pPr>
              <w:widowControl w:val="0"/>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w:t>
            </w:r>
            <w:r w:rsidR="000D078F">
              <w:rPr>
                <w:rFonts w:ascii="Times New Roman" w:eastAsia="Times New Roman" w:hAnsi="Times New Roman" w:cs="Times New Roman"/>
                <w:sz w:val="20"/>
                <w:szCs w:val="20"/>
                <w:lang w:eastAsia="ru-RU"/>
              </w:rPr>
              <w:t>3</w:t>
            </w:r>
          </w:p>
        </w:tc>
        <w:tc>
          <w:tcPr>
            <w:tcW w:w="412" w:type="dxa"/>
            <w:tcBorders>
              <w:top w:val="nil"/>
              <w:left w:val="nil"/>
              <w:bottom w:val="nil"/>
              <w:right w:val="nil"/>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г.</w:t>
            </w:r>
          </w:p>
        </w:tc>
        <w:tc>
          <w:tcPr>
            <w:tcW w:w="1984" w:type="dxa"/>
            <w:tcBorders>
              <w:top w:val="nil"/>
              <w:left w:val="nil"/>
              <w:bottom w:val="nil"/>
              <w:right w:val="nil"/>
            </w:tcBorders>
            <w:vAlign w:val="bottom"/>
          </w:tcPr>
          <w:p w:rsidR="00AE6075" w:rsidRPr="00DD55E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М.П.</w:t>
            </w:r>
          </w:p>
        </w:tc>
        <w:tc>
          <w:tcPr>
            <w:tcW w:w="3941" w:type="dxa"/>
            <w:gridSpan w:val="3"/>
            <w:tcBorders>
              <w:top w:val="nil"/>
              <w:left w:val="nil"/>
              <w:bottom w:val="nil"/>
              <w:right w:val="single" w:sz="4" w:space="0" w:color="auto"/>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E6075" w:rsidRPr="00DD55E7" w:rsidTr="00DB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65" w:type="dxa"/>
            <w:gridSpan w:val="7"/>
            <w:tcBorders>
              <w:top w:val="nil"/>
              <w:left w:val="single" w:sz="4" w:space="0" w:color="auto"/>
              <w:bottom w:val="single" w:sz="4" w:space="0" w:color="auto"/>
              <w:right w:val="nil"/>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single" w:sz="4" w:space="0" w:color="auto"/>
              <w:right w:val="nil"/>
            </w:tcBorders>
          </w:tcPr>
          <w:p w:rsidR="00AE6075" w:rsidRPr="00DD55E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941" w:type="dxa"/>
            <w:gridSpan w:val="3"/>
            <w:tcBorders>
              <w:top w:val="nil"/>
              <w:left w:val="nil"/>
              <w:bottom w:val="single" w:sz="4" w:space="0" w:color="auto"/>
              <w:right w:val="single" w:sz="4" w:space="0" w:color="auto"/>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AE6075" w:rsidRPr="00AE6075" w:rsidRDefault="00AE6075" w:rsidP="00AE6075">
      <w:pPr>
        <w:autoSpaceDE w:val="0"/>
        <w:autoSpaceDN w:val="0"/>
        <w:spacing w:after="0" w:line="240" w:lineRule="auto"/>
        <w:jc w:val="center"/>
        <w:rPr>
          <w:rFonts w:ascii="Times New Roman" w:eastAsia="Times New Roman" w:hAnsi="Times New Roman" w:cs="Times New Roman"/>
          <w:b/>
          <w:color w:val="000000"/>
          <w:lang w:eastAsia="ru-RU"/>
        </w:rPr>
      </w:pPr>
    </w:p>
    <w:p w:rsidR="00AE6075" w:rsidRPr="00AE6075" w:rsidRDefault="00AE6075" w:rsidP="00AE6075">
      <w:pPr>
        <w:autoSpaceDE w:val="0"/>
        <w:autoSpaceDN w:val="0"/>
        <w:spacing w:after="0" w:line="240" w:lineRule="auto"/>
        <w:rPr>
          <w:rFonts w:ascii="Times New Roman" w:eastAsia="Times New Roman" w:hAnsi="Times New Roman" w:cs="Times New Roman"/>
          <w:lang w:eastAsia="ru-RU"/>
        </w:rPr>
      </w:pPr>
    </w:p>
    <w:sectPr w:rsidR="00AE6075" w:rsidRPr="00AE6075" w:rsidSect="006A2848">
      <w:pgSz w:w="11906" w:h="16838"/>
      <w:pgMar w:top="568"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23B1"/>
    <w:multiLevelType w:val="hybridMultilevel"/>
    <w:tmpl w:val="C6148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1A596D"/>
    <w:multiLevelType w:val="hybridMultilevel"/>
    <w:tmpl w:val="76E23F1C"/>
    <w:lvl w:ilvl="0" w:tplc="9798210C">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BA10CEE"/>
    <w:multiLevelType w:val="hybridMultilevel"/>
    <w:tmpl w:val="59A80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4F4B73"/>
    <w:multiLevelType w:val="hybridMultilevel"/>
    <w:tmpl w:val="81263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74"/>
    <w:rsid w:val="000246B8"/>
    <w:rsid w:val="000A179D"/>
    <w:rsid w:val="000B4E78"/>
    <w:rsid w:val="000D078F"/>
    <w:rsid w:val="00100313"/>
    <w:rsid w:val="00236066"/>
    <w:rsid w:val="00344FDC"/>
    <w:rsid w:val="003823E5"/>
    <w:rsid w:val="003B5F42"/>
    <w:rsid w:val="004B4E05"/>
    <w:rsid w:val="0051483C"/>
    <w:rsid w:val="00526BFA"/>
    <w:rsid w:val="00565B05"/>
    <w:rsid w:val="00572088"/>
    <w:rsid w:val="005A23F4"/>
    <w:rsid w:val="00693246"/>
    <w:rsid w:val="006A2848"/>
    <w:rsid w:val="006D7CCB"/>
    <w:rsid w:val="00712241"/>
    <w:rsid w:val="00745752"/>
    <w:rsid w:val="00764D0E"/>
    <w:rsid w:val="007B0B06"/>
    <w:rsid w:val="007C4AF2"/>
    <w:rsid w:val="00800E74"/>
    <w:rsid w:val="0081583D"/>
    <w:rsid w:val="008165BF"/>
    <w:rsid w:val="008443EF"/>
    <w:rsid w:val="00912C0C"/>
    <w:rsid w:val="00915C00"/>
    <w:rsid w:val="00946AE1"/>
    <w:rsid w:val="0096367A"/>
    <w:rsid w:val="00A44556"/>
    <w:rsid w:val="00A75737"/>
    <w:rsid w:val="00AA7818"/>
    <w:rsid w:val="00AE6075"/>
    <w:rsid w:val="00B13444"/>
    <w:rsid w:val="00B602E6"/>
    <w:rsid w:val="00B6772E"/>
    <w:rsid w:val="00BD167D"/>
    <w:rsid w:val="00CA38B4"/>
    <w:rsid w:val="00CC6C37"/>
    <w:rsid w:val="00D961A8"/>
    <w:rsid w:val="00DB2E14"/>
    <w:rsid w:val="00DD55E7"/>
    <w:rsid w:val="00DE1AE4"/>
    <w:rsid w:val="00E42697"/>
    <w:rsid w:val="00E60634"/>
    <w:rsid w:val="00EA478E"/>
    <w:rsid w:val="00ED5C4A"/>
    <w:rsid w:val="00F34029"/>
    <w:rsid w:val="00F34951"/>
    <w:rsid w:val="00F75B18"/>
    <w:rsid w:val="00F854C7"/>
    <w:rsid w:val="00FA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FE4B"/>
  <w15:docId w15:val="{DC6EDD50-43B6-4F97-945A-FE18819B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444"/>
    <w:pPr>
      <w:ind w:left="720"/>
      <w:contextualSpacing/>
    </w:pPr>
  </w:style>
  <w:style w:type="character" w:styleId="a4">
    <w:name w:val="Hyperlink"/>
    <w:basedOn w:val="a0"/>
    <w:uiPriority w:val="99"/>
    <w:rsid w:val="00E42697"/>
    <w:rPr>
      <w:rFonts w:cs="Times New Roman"/>
      <w:color w:val="0000FF"/>
      <w:u w:val="single"/>
    </w:rPr>
  </w:style>
  <w:style w:type="paragraph" w:styleId="a5">
    <w:name w:val="Balloon Text"/>
    <w:basedOn w:val="a"/>
    <w:link w:val="a6"/>
    <w:uiPriority w:val="99"/>
    <w:semiHidden/>
    <w:unhideWhenUsed/>
    <w:rsid w:val="008165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6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172773">
      <w:bodyDiv w:val="1"/>
      <w:marLeft w:val="0"/>
      <w:marRight w:val="0"/>
      <w:marTop w:val="0"/>
      <w:marBottom w:val="0"/>
      <w:divBdr>
        <w:top w:val="none" w:sz="0" w:space="0" w:color="auto"/>
        <w:left w:val="none" w:sz="0" w:space="0" w:color="auto"/>
        <w:bottom w:val="none" w:sz="0" w:space="0" w:color="auto"/>
        <w:right w:val="none" w:sz="0" w:space="0" w:color="auto"/>
      </w:divBdr>
      <w:divsChild>
        <w:div w:id="1166822875">
          <w:marLeft w:val="0"/>
          <w:marRight w:val="0"/>
          <w:marTop w:val="0"/>
          <w:marBottom w:val="0"/>
          <w:divBdr>
            <w:top w:val="none" w:sz="0" w:space="0" w:color="auto"/>
            <w:left w:val="none" w:sz="0" w:space="0" w:color="auto"/>
            <w:bottom w:val="none" w:sz="0" w:space="0" w:color="auto"/>
            <w:right w:val="none" w:sz="0" w:space="0" w:color="auto"/>
          </w:divBdr>
          <w:divsChild>
            <w:div w:id="901017903">
              <w:marLeft w:val="0"/>
              <w:marRight w:val="0"/>
              <w:marTop w:val="0"/>
              <w:marBottom w:val="0"/>
              <w:divBdr>
                <w:top w:val="none" w:sz="0" w:space="0" w:color="auto"/>
                <w:left w:val="none" w:sz="0" w:space="0" w:color="auto"/>
                <w:bottom w:val="none" w:sz="0" w:space="0" w:color="auto"/>
                <w:right w:val="none" w:sz="0" w:space="0" w:color="auto"/>
              </w:divBdr>
              <w:divsChild>
                <w:div w:id="226495070">
                  <w:marLeft w:val="0"/>
                  <w:marRight w:val="0"/>
                  <w:marTop w:val="0"/>
                  <w:marBottom w:val="0"/>
                  <w:divBdr>
                    <w:top w:val="none" w:sz="0" w:space="0" w:color="auto"/>
                    <w:left w:val="none" w:sz="0" w:space="0" w:color="auto"/>
                    <w:bottom w:val="none" w:sz="0" w:space="0" w:color="auto"/>
                    <w:right w:val="none" w:sz="0" w:space="0" w:color="auto"/>
                  </w:divBdr>
                  <w:divsChild>
                    <w:div w:id="159542263">
                      <w:marLeft w:val="120"/>
                      <w:marRight w:val="0"/>
                      <w:marTop w:val="120"/>
                      <w:marBottom w:val="0"/>
                      <w:divBdr>
                        <w:top w:val="none" w:sz="0" w:space="0" w:color="auto"/>
                        <w:left w:val="none" w:sz="0" w:space="0" w:color="auto"/>
                        <w:bottom w:val="none" w:sz="0" w:space="0" w:color="auto"/>
                        <w:right w:val="none" w:sz="0" w:space="0" w:color="auto"/>
                      </w:divBdr>
                      <w:divsChild>
                        <w:div w:id="6346759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neft.ru/" TargetMode="External"/><Relationship Id="rId5" Type="http://schemas.openxmlformats.org/officeDocument/2006/relationships/hyperlink" Target="http://www.e-disclosure.ru/portal/company.aspx?id=5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ОАО "Саратовнефтегаз"</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Запольская Светлана Валентиновна</dc:creator>
  <cp:lastModifiedBy>Матвеев Павел Александрович</cp:lastModifiedBy>
  <cp:revision>7</cp:revision>
  <cp:lastPrinted>2017-06-28T12:27:00Z</cp:lastPrinted>
  <dcterms:created xsi:type="dcterms:W3CDTF">2023-09-20T08:23:00Z</dcterms:created>
  <dcterms:modified xsi:type="dcterms:W3CDTF">2023-09-21T12:07:00Z</dcterms:modified>
</cp:coreProperties>
</file>