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3C745" w14:textId="77777777" w:rsidR="00063660" w:rsidRPr="006835EB" w:rsidRDefault="00227E10">
      <w:pPr>
        <w:spacing w:after="0" w:line="240" w:lineRule="auto"/>
        <w:jc w:val="center"/>
        <w:rPr>
          <w:rFonts w:ascii="Arial" w:hAnsi="Arial" w:cs="Arial"/>
          <w:sz w:val="32"/>
        </w:rPr>
      </w:pPr>
      <w:bookmarkStart w:id="0" w:name="OLE_LINK3"/>
      <w:bookmarkStart w:id="1" w:name="OLE_LINK4"/>
      <w:bookmarkStart w:id="2" w:name="_GoBack"/>
      <w:bookmarkEnd w:id="2"/>
      <w:r w:rsidRPr="006835EB">
        <w:rPr>
          <w:rFonts w:ascii="Arial" w:hAnsi="Arial" w:cs="Arial"/>
          <w:noProof/>
          <w:sz w:val="32"/>
        </w:rPr>
        <w:drawing>
          <wp:inline distT="0" distB="0" distL="0" distR="0" wp14:anchorId="4E753395" wp14:editId="0148C18F">
            <wp:extent cx="2480858" cy="12363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480858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5EB">
        <w:rPr>
          <w:rFonts w:ascii="Arial" w:hAnsi="Arial" w:cs="Arial"/>
          <w:sz w:val="32"/>
        </w:rPr>
        <w:t xml:space="preserve"> </w:t>
      </w:r>
    </w:p>
    <w:p w14:paraId="6E8074DC" w14:textId="77777777" w:rsidR="00063660" w:rsidRPr="006835EB" w:rsidRDefault="00227E1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18"/>
        </w:rPr>
      </w:pPr>
      <w:r w:rsidRPr="006835EB">
        <w:rPr>
          <w:rFonts w:ascii="Arial" w:hAnsi="Arial" w:cs="Arial"/>
          <w:b/>
          <w:bCs/>
          <w:sz w:val="28"/>
          <w:szCs w:val="18"/>
        </w:rPr>
        <w:t>PJSC “RUSSNEFT” PRESS SERVICE</w:t>
      </w:r>
    </w:p>
    <w:p w14:paraId="5110111C" w14:textId="77777777" w:rsidR="00063660" w:rsidRPr="006835EB" w:rsidRDefault="00063660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063660" w:rsidRPr="006835EB" w14:paraId="3B7C0615" w14:textId="77777777" w:rsidTr="00454098">
        <w:trPr>
          <w:trHeight w:val="13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C4E" w14:textId="77777777" w:rsidR="00063660" w:rsidRPr="006835EB" w:rsidRDefault="00227E10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lang w:val="pt-BR"/>
              </w:rPr>
            </w:pPr>
            <w:r w:rsidRPr="006835EB">
              <w:rPr>
                <w:rFonts w:ascii="Arial" w:hAnsi="Arial" w:cs="Arial"/>
                <w:b/>
                <w:sz w:val="28"/>
                <w:lang w:val="pt-BR"/>
              </w:rPr>
              <w:t>Tel.: (495) 411-63-24; (495) 411-63-21</w:t>
            </w:r>
          </w:p>
          <w:p w14:paraId="29AF7413" w14:textId="77777777" w:rsidR="00063660" w:rsidRPr="006835EB" w:rsidRDefault="00227E10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lang w:val="pt-BR"/>
              </w:rPr>
            </w:pPr>
            <w:r w:rsidRPr="006835EB">
              <w:rPr>
                <w:rFonts w:ascii="Arial" w:hAnsi="Arial" w:cs="Arial"/>
                <w:b/>
                <w:sz w:val="28"/>
                <w:lang w:val="pt-BR"/>
              </w:rPr>
              <w:t xml:space="preserve">Fax: (495) 411-63-19 </w:t>
            </w:r>
          </w:p>
          <w:p w14:paraId="4B04BA91" w14:textId="77777777" w:rsidR="00063660" w:rsidRPr="006835EB" w:rsidRDefault="00227E10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lang w:val="pt-BR"/>
              </w:rPr>
            </w:pPr>
            <w:r w:rsidRPr="006835EB">
              <w:rPr>
                <w:rFonts w:ascii="Arial" w:hAnsi="Arial" w:cs="Arial"/>
                <w:b/>
                <w:sz w:val="28"/>
                <w:lang w:val="pt-BR"/>
              </w:rPr>
              <w:t>E-mail: pr@russneft.ru</w:t>
            </w:r>
          </w:p>
          <w:p w14:paraId="0F763953" w14:textId="77777777" w:rsidR="00063660" w:rsidRPr="006835EB" w:rsidRDefault="00522AAC">
            <w:pPr>
              <w:spacing w:after="0" w:line="240" w:lineRule="auto"/>
              <w:jc w:val="both"/>
              <w:rPr>
                <w:rFonts w:ascii="Arial" w:hAnsi="Arial" w:cs="Arial"/>
                <w:sz w:val="28"/>
              </w:rPr>
            </w:pPr>
            <w:hyperlink r:id="rId5" w:history="1">
              <w:r w:rsidR="00227E10" w:rsidRPr="006835EB">
                <w:rPr>
                  <w:rFonts w:ascii="Arial" w:hAnsi="Arial" w:cs="Arial"/>
                  <w:b/>
                  <w:color w:val="0000FF"/>
                  <w:sz w:val="28"/>
                  <w:u w:val="single"/>
                </w:rPr>
                <w:t>www.russneft.ru</w:t>
              </w:r>
            </w:hyperlink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E72A" w14:textId="77777777" w:rsidR="00063660" w:rsidRPr="006835EB" w:rsidRDefault="00227E10">
            <w:pP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6835EB">
              <w:rPr>
                <w:rFonts w:ascii="Arial" w:hAnsi="Arial" w:cs="Arial"/>
                <w:b/>
                <w:sz w:val="28"/>
              </w:rPr>
              <w:t xml:space="preserve">115054, Moscow, </w:t>
            </w:r>
          </w:p>
          <w:p w14:paraId="238E1113" w14:textId="77777777" w:rsidR="00063660" w:rsidRPr="006835EB" w:rsidRDefault="00227E1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6835EB">
              <w:rPr>
                <w:rFonts w:ascii="Arial" w:hAnsi="Arial" w:cs="Arial"/>
                <w:b/>
                <w:sz w:val="28"/>
              </w:rPr>
              <w:t>Pyatnitskaya</w:t>
            </w:r>
            <w:proofErr w:type="spellEnd"/>
            <w:r w:rsidRPr="006835EB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6835EB">
              <w:rPr>
                <w:rFonts w:ascii="Arial" w:hAnsi="Arial" w:cs="Arial"/>
                <w:b/>
                <w:sz w:val="28"/>
              </w:rPr>
              <w:t>str</w:t>
            </w:r>
            <w:proofErr w:type="spellEnd"/>
            <w:r w:rsidRPr="006835EB">
              <w:rPr>
                <w:rFonts w:ascii="Arial" w:hAnsi="Arial" w:cs="Arial"/>
                <w:b/>
                <w:sz w:val="28"/>
              </w:rPr>
              <w:t>., 69</w:t>
            </w:r>
            <w:r w:rsidRPr="006835EB">
              <w:rPr>
                <w:rFonts w:ascii="Arial" w:hAnsi="Arial" w:cs="Arial"/>
                <w:b/>
                <w:sz w:val="28"/>
              </w:rPr>
              <w:br/>
            </w:r>
            <w:r w:rsidRPr="006835EB">
              <w:rPr>
                <w:rFonts w:ascii="Arial" w:hAnsi="Arial" w:cs="Arial"/>
                <w:sz w:val="28"/>
              </w:rPr>
              <w:t xml:space="preserve"> </w:t>
            </w:r>
          </w:p>
          <w:p w14:paraId="1C31BF13" w14:textId="77777777" w:rsidR="00063660" w:rsidRPr="006835EB" w:rsidRDefault="00227E10">
            <w:pPr>
              <w:spacing w:after="0" w:line="240" w:lineRule="auto"/>
              <w:ind w:firstLine="708"/>
              <w:rPr>
                <w:rFonts w:ascii="Arial" w:hAnsi="Arial" w:cs="Arial"/>
                <w:sz w:val="28"/>
              </w:rPr>
            </w:pPr>
            <w:r w:rsidRPr="006835EB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200226BA" w14:textId="77777777" w:rsidR="00063660" w:rsidRPr="006835EB" w:rsidRDefault="00063660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D9471E9" w14:textId="77777777" w:rsidR="00063660" w:rsidRPr="006835EB" w:rsidRDefault="00227E1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835EB">
        <w:rPr>
          <w:rFonts w:ascii="Arial" w:hAnsi="Arial" w:cs="Arial"/>
          <w:b/>
          <w:sz w:val="28"/>
        </w:rPr>
        <w:t>PRESS RELEASE</w:t>
      </w:r>
    </w:p>
    <w:p w14:paraId="635B5104" w14:textId="77777777" w:rsidR="006835EB" w:rsidRDefault="006835EB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12E29DF0" w14:textId="15D5EEBA" w:rsidR="00063660" w:rsidRPr="006835EB" w:rsidRDefault="006835EB">
      <w:pPr>
        <w:spacing w:after="0" w:line="240" w:lineRule="auto"/>
        <w:jc w:val="center"/>
        <w:rPr>
          <w:rFonts w:ascii="Arial" w:hAnsi="Arial" w:cs="Arial"/>
          <w:bCs/>
          <w:sz w:val="28"/>
          <w:lang w:val="en-US"/>
        </w:rPr>
      </w:pPr>
      <w:r w:rsidRPr="006835EB">
        <w:rPr>
          <w:rFonts w:ascii="Arial" w:hAnsi="Arial" w:cs="Arial"/>
          <w:bCs/>
          <w:sz w:val="28"/>
          <w:lang w:val="en-US"/>
        </w:rPr>
        <w:t>June</w:t>
      </w:r>
      <w:r w:rsidR="00227E10" w:rsidRPr="006835EB">
        <w:rPr>
          <w:rFonts w:ascii="Arial" w:hAnsi="Arial" w:cs="Arial"/>
          <w:bCs/>
          <w:sz w:val="28"/>
          <w:lang w:val="en-US"/>
        </w:rPr>
        <w:t xml:space="preserve"> </w:t>
      </w:r>
      <w:r w:rsidRPr="006835EB">
        <w:rPr>
          <w:rFonts w:ascii="Arial" w:hAnsi="Arial" w:cs="Arial"/>
          <w:bCs/>
          <w:sz w:val="28"/>
          <w:lang w:val="en-US"/>
        </w:rPr>
        <w:t>3</w:t>
      </w:r>
      <w:r w:rsidR="00227E10" w:rsidRPr="006835EB">
        <w:rPr>
          <w:rFonts w:ascii="Arial" w:hAnsi="Arial" w:cs="Arial"/>
          <w:bCs/>
          <w:sz w:val="28"/>
          <w:lang w:val="en-US"/>
        </w:rPr>
        <w:t>, 2025</w:t>
      </w:r>
    </w:p>
    <w:bookmarkEnd w:id="0"/>
    <w:bookmarkEnd w:id="1"/>
    <w:p w14:paraId="1AD1ACB3" w14:textId="77777777" w:rsidR="00063660" w:rsidRPr="006835EB" w:rsidRDefault="00063660">
      <w:pPr>
        <w:spacing w:after="0" w:line="240" w:lineRule="auto"/>
        <w:jc w:val="center"/>
        <w:rPr>
          <w:rFonts w:ascii="Arial" w:hAnsi="Arial" w:cs="Arial"/>
          <w:bCs/>
          <w:sz w:val="28"/>
          <w:lang w:val="en-US"/>
        </w:rPr>
      </w:pPr>
    </w:p>
    <w:p w14:paraId="000E6EAE" w14:textId="77777777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  <w:r w:rsidRPr="00454098">
        <w:rPr>
          <w:rFonts w:ascii="Times New Roman" w:hAnsi="Times New Roman"/>
          <w:bCs/>
          <w:sz w:val="28"/>
          <w:lang w:val="en-US"/>
        </w:rPr>
        <w:t>RussNeft continues cooperation in the socio-economic sphere with the administration of the Nizhnevartovsk district</w:t>
      </w:r>
    </w:p>
    <w:p w14:paraId="44B8C59A" w14:textId="13C6F9F1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</w:p>
    <w:p w14:paraId="536F53F6" w14:textId="77777777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</w:p>
    <w:p w14:paraId="7F818E38" w14:textId="6E11ACA1" w:rsidR="006835EB" w:rsidRPr="00454098" w:rsidRDefault="00454098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  <w:r w:rsidRPr="00454098">
        <w:rPr>
          <w:rFonts w:ascii="Times New Roman" w:hAnsi="Times New Roman"/>
          <w:bCs/>
          <w:sz w:val="28"/>
          <w:lang w:val="en-US"/>
        </w:rPr>
        <w:t>PJSC “</w:t>
      </w:r>
      <w:r w:rsidR="006835EB" w:rsidRPr="00454098">
        <w:rPr>
          <w:rFonts w:ascii="Times New Roman" w:hAnsi="Times New Roman"/>
          <w:bCs/>
          <w:sz w:val="28"/>
          <w:lang w:val="en-US"/>
        </w:rPr>
        <w:t>RussNeft</w:t>
      </w:r>
      <w:r w:rsidRPr="00454098">
        <w:rPr>
          <w:rFonts w:ascii="Times New Roman" w:hAnsi="Times New Roman"/>
          <w:bCs/>
          <w:sz w:val="28"/>
          <w:lang w:val="en-US"/>
        </w:rPr>
        <w:t>”</w:t>
      </w:r>
      <w:r w:rsidR="006835EB" w:rsidRPr="00454098">
        <w:rPr>
          <w:rFonts w:ascii="Times New Roman" w:hAnsi="Times New Roman"/>
          <w:bCs/>
          <w:sz w:val="28"/>
          <w:lang w:val="en-US"/>
        </w:rPr>
        <w:t xml:space="preserve"> has concluded an agreement on cooperation in the socio-economic sphere with the administration of the Nizhnevartovsk district.</w:t>
      </w:r>
    </w:p>
    <w:p w14:paraId="36338574" w14:textId="77777777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</w:p>
    <w:p w14:paraId="2839E9B0" w14:textId="7E93E2E7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  <w:r w:rsidRPr="00454098">
        <w:rPr>
          <w:rFonts w:ascii="Times New Roman" w:hAnsi="Times New Roman"/>
          <w:bCs/>
          <w:sz w:val="28"/>
          <w:lang w:val="en-US"/>
        </w:rPr>
        <w:t xml:space="preserve">In 2024, the </w:t>
      </w:r>
      <w:r w:rsidR="00454098" w:rsidRPr="00454098">
        <w:rPr>
          <w:rFonts w:ascii="Times New Roman" w:hAnsi="Times New Roman"/>
          <w:bCs/>
          <w:sz w:val="28"/>
          <w:lang w:val="en-US"/>
        </w:rPr>
        <w:t>C</w:t>
      </w:r>
      <w:r w:rsidRPr="00454098">
        <w:rPr>
          <w:rFonts w:ascii="Times New Roman" w:hAnsi="Times New Roman"/>
          <w:bCs/>
          <w:sz w:val="28"/>
          <w:lang w:val="en-US"/>
        </w:rPr>
        <w:t xml:space="preserve">ompany allocated funds for the improvement of the </w:t>
      </w:r>
      <w:r w:rsidR="00454098" w:rsidRPr="00454098">
        <w:rPr>
          <w:rFonts w:ascii="Times New Roman" w:hAnsi="Times New Roman"/>
          <w:bCs/>
          <w:sz w:val="28"/>
          <w:lang w:val="en-US"/>
        </w:rPr>
        <w:t>premises</w:t>
      </w:r>
      <w:r w:rsidRPr="00454098">
        <w:rPr>
          <w:rFonts w:ascii="Times New Roman" w:hAnsi="Times New Roman"/>
          <w:bCs/>
          <w:sz w:val="28"/>
          <w:lang w:val="en-US"/>
        </w:rPr>
        <w:t xml:space="preserve"> of the Temple in honor of the holy martyr Hermogenes and all the New Martyrs and Confessors of the Russian Church in the village of </w:t>
      </w:r>
      <w:proofErr w:type="spellStart"/>
      <w:r w:rsidRPr="00454098">
        <w:rPr>
          <w:rFonts w:ascii="Times New Roman" w:hAnsi="Times New Roman"/>
          <w:bCs/>
          <w:sz w:val="28"/>
          <w:lang w:val="en-US"/>
        </w:rPr>
        <w:t>Novoagansk</w:t>
      </w:r>
      <w:proofErr w:type="spellEnd"/>
      <w:r w:rsidRPr="00454098">
        <w:rPr>
          <w:rFonts w:ascii="Times New Roman" w:hAnsi="Times New Roman"/>
          <w:bCs/>
          <w:sz w:val="28"/>
          <w:lang w:val="en-US"/>
        </w:rPr>
        <w:t>. The temple is being built with the active financial participation of RussNeft.</w:t>
      </w:r>
    </w:p>
    <w:p w14:paraId="41A32CBD" w14:textId="77777777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</w:rPr>
      </w:pPr>
    </w:p>
    <w:p w14:paraId="50C6DBC7" w14:textId="0EE1F938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  <w:r w:rsidRPr="00454098">
        <w:rPr>
          <w:rFonts w:ascii="Times New Roman" w:hAnsi="Times New Roman"/>
          <w:bCs/>
          <w:sz w:val="28"/>
          <w:lang w:val="en-US"/>
        </w:rPr>
        <w:t xml:space="preserve">The financing program for the current year is also focused on the </w:t>
      </w:r>
      <w:r w:rsidR="00454098" w:rsidRPr="00454098">
        <w:rPr>
          <w:rFonts w:ascii="Times New Roman" w:hAnsi="Times New Roman"/>
          <w:bCs/>
          <w:sz w:val="28"/>
          <w:lang w:val="en-US"/>
        </w:rPr>
        <w:t>upgrade</w:t>
      </w:r>
      <w:r w:rsidRPr="00454098">
        <w:rPr>
          <w:rFonts w:ascii="Times New Roman" w:hAnsi="Times New Roman"/>
          <w:bCs/>
          <w:sz w:val="28"/>
          <w:lang w:val="en-US"/>
        </w:rPr>
        <w:t xml:space="preserve"> and improvement of the </w:t>
      </w:r>
      <w:r w:rsidR="00454098" w:rsidRPr="00454098">
        <w:rPr>
          <w:rFonts w:ascii="Times New Roman" w:hAnsi="Times New Roman"/>
          <w:bCs/>
          <w:sz w:val="28"/>
          <w:lang w:val="en-US"/>
        </w:rPr>
        <w:t>sites</w:t>
      </w:r>
      <w:r w:rsidRPr="00454098">
        <w:rPr>
          <w:rFonts w:ascii="Times New Roman" w:hAnsi="Times New Roman"/>
          <w:bCs/>
          <w:sz w:val="28"/>
          <w:lang w:val="en-US"/>
        </w:rPr>
        <w:t xml:space="preserve"> of Orthodox churches in the district settlements of </w:t>
      </w:r>
      <w:proofErr w:type="spellStart"/>
      <w:r w:rsidRPr="00454098">
        <w:rPr>
          <w:rFonts w:ascii="Times New Roman" w:hAnsi="Times New Roman"/>
          <w:bCs/>
          <w:sz w:val="28"/>
          <w:lang w:val="en-US"/>
        </w:rPr>
        <w:t>Novoagansk</w:t>
      </w:r>
      <w:proofErr w:type="spellEnd"/>
      <w:r w:rsidRPr="00454098">
        <w:rPr>
          <w:rFonts w:ascii="Times New Roman" w:hAnsi="Times New Roman"/>
          <w:bCs/>
          <w:sz w:val="28"/>
          <w:lang w:val="en-US"/>
        </w:rPr>
        <w:t xml:space="preserve"> and </w:t>
      </w:r>
      <w:proofErr w:type="spellStart"/>
      <w:r w:rsidRPr="00454098">
        <w:rPr>
          <w:rFonts w:ascii="Times New Roman" w:hAnsi="Times New Roman"/>
          <w:bCs/>
          <w:sz w:val="28"/>
          <w:lang w:val="en-US"/>
        </w:rPr>
        <w:t>Zaitseva</w:t>
      </w:r>
      <w:proofErr w:type="spellEnd"/>
      <w:r w:rsidRPr="00454098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454098">
        <w:rPr>
          <w:rFonts w:ascii="Times New Roman" w:hAnsi="Times New Roman"/>
          <w:bCs/>
          <w:sz w:val="28"/>
          <w:lang w:val="en-US"/>
        </w:rPr>
        <w:t>Rechka</w:t>
      </w:r>
      <w:proofErr w:type="spellEnd"/>
      <w:r w:rsidRPr="00454098">
        <w:rPr>
          <w:rFonts w:ascii="Times New Roman" w:hAnsi="Times New Roman"/>
          <w:bCs/>
          <w:sz w:val="28"/>
          <w:lang w:val="en-US"/>
        </w:rPr>
        <w:t xml:space="preserve">, as well as the repair of the </w:t>
      </w:r>
      <w:proofErr w:type="spellStart"/>
      <w:r w:rsidRPr="00454098">
        <w:rPr>
          <w:rFonts w:ascii="Times New Roman" w:hAnsi="Times New Roman"/>
          <w:bCs/>
          <w:sz w:val="28"/>
          <w:lang w:val="en-US"/>
        </w:rPr>
        <w:t>Znamenskaya</w:t>
      </w:r>
      <w:proofErr w:type="spellEnd"/>
      <w:r w:rsidRPr="00454098">
        <w:rPr>
          <w:rFonts w:ascii="Times New Roman" w:hAnsi="Times New Roman"/>
          <w:bCs/>
          <w:sz w:val="28"/>
          <w:lang w:val="en-US"/>
        </w:rPr>
        <w:t xml:space="preserve"> Church in the village of </w:t>
      </w:r>
      <w:proofErr w:type="spellStart"/>
      <w:r w:rsidRPr="00454098">
        <w:rPr>
          <w:rFonts w:ascii="Times New Roman" w:hAnsi="Times New Roman"/>
          <w:bCs/>
          <w:sz w:val="28"/>
          <w:lang w:val="en-US"/>
        </w:rPr>
        <w:t>Laryak</w:t>
      </w:r>
      <w:proofErr w:type="spellEnd"/>
      <w:r w:rsidRPr="00454098">
        <w:rPr>
          <w:rFonts w:ascii="Times New Roman" w:hAnsi="Times New Roman"/>
          <w:bCs/>
          <w:sz w:val="28"/>
          <w:lang w:val="en-US"/>
        </w:rPr>
        <w:t>.</w:t>
      </w:r>
    </w:p>
    <w:p w14:paraId="6AF9FF60" w14:textId="77777777" w:rsidR="006835EB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</w:p>
    <w:p w14:paraId="450FE57C" w14:textId="5FF6D47C" w:rsidR="00063660" w:rsidRPr="00454098" w:rsidRDefault="006835EB" w:rsidP="006835EB">
      <w:pPr>
        <w:spacing w:after="0" w:line="276" w:lineRule="auto"/>
        <w:jc w:val="both"/>
        <w:rPr>
          <w:rFonts w:ascii="Times New Roman" w:hAnsi="Times New Roman"/>
          <w:bCs/>
          <w:sz w:val="28"/>
          <w:lang w:val="en-US"/>
        </w:rPr>
      </w:pPr>
      <w:r w:rsidRPr="00454098">
        <w:rPr>
          <w:rFonts w:ascii="Times New Roman" w:hAnsi="Times New Roman"/>
          <w:bCs/>
          <w:sz w:val="28"/>
          <w:lang w:val="en-US"/>
        </w:rPr>
        <w:t xml:space="preserve">In the future, the Company intends to continue joint work with the municipal administration to finance socially significant programs in the </w:t>
      </w:r>
      <w:r w:rsidR="00454098" w:rsidRPr="00454098">
        <w:rPr>
          <w:rFonts w:ascii="Times New Roman" w:hAnsi="Times New Roman"/>
          <w:bCs/>
          <w:sz w:val="28"/>
          <w:lang w:val="en-US"/>
        </w:rPr>
        <w:t>areas</w:t>
      </w:r>
      <w:r w:rsidRPr="00454098">
        <w:rPr>
          <w:rFonts w:ascii="Times New Roman" w:hAnsi="Times New Roman"/>
          <w:bCs/>
          <w:sz w:val="28"/>
          <w:lang w:val="en-US"/>
        </w:rPr>
        <w:t xml:space="preserve"> of RussNeft's production presence.</w:t>
      </w:r>
    </w:p>
    <w:p w14:paraId="0DE38E82" w14:textId="77777777" w:rsidR="00063660" w:rsidRPr="00454098" w:rsidRDefault="00063660">
      <w:pPr>
        <w:spacing w:after="0" w:line="276" w:lineRule="auto"/>
        <w:jc w:val="both"/>
        <w:rPr>
          <w:rFonts w:ascii="Times New Roman" w:hAnsi="Times New Roman"/>
          <w:sz w:val="28"/>
          <w:lang w:val="en-US"/>
        </w:rPr>
      </w:pPr>
    </w:p>
    <w:p w14:paraId="666341C8" w14:textId="77777777" w:rsidR="00063660" w:rsidRPr="00454098" w:rsidRDefault="00063660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08DF793D" w14:textId="77777777" w:rsidR="00063660" w:rsidRPr="00454098" w:rsidRDefault="00227E10">
      <w:pPr>
        <w:spacing w:after="0" w:line="240" w:lineRule="auto"/>
        <w:jc w:val="both"/>
        <w:rPr>
          <w:rFonts w:ascii="Times New Roman" w:hAnsi="Times New Roman"/>
          <w:b/>
          <w:sz w:val="28"/>
          <w:lang w:val="en-US"/>
        </w:rPr>
      </w:pPr>
      <w:r w:rsidRPr="00454098">
        <w:rPr>
          <w:rFonts w:ascii="Times New Roman" w:hAnsi="Times New Roman"/>
          <w:b/>
          <w:sz w:val="28"/>
          <w:lang w:val="en-US"/>
        </w:rPr>
        <w:t>About the Company:</w:t>
      </w:r>
    </w:p>
    <w:p w14:paraId="003ADC00" w14:textId="77777777" w:rsidR="00063660" w:rsidRPr="00454098" w:rsidRDefault="00063660">
      <w:pPr>
        <w:spacing w:after="0" w:line="240" w:lineRule="auto"/>
        <w:jc w:val="both"/>
        <w:rPr>
          <w:rFonts w:ascii="Times New Roman" w:hAnsi="Times New Roman"/>
          <w:color w:val="FFFFFF"/>
          <w:lang w:val="en-US"/>
        </w:rPr>
      </w:pPr>
    </w:p>
    <w:p w14:paraId="6D16A05F" w14:textId="77777777" w:rsidR="00063660" w:rsidRPr="00454098" w:rsidRDefault="00227E10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454098">
        <w:rPr>
          <w:rFonts w:ascii="Times New Roman" w:hAnsi="Times New Roman"/>
          <w:sz w:val="28"/>
          <w:lang w:val="en-US"/>
        </w:rPr>
        <w:t>PJSC “RussNeft” ranks among the top-10 largest oil companies by crude oil production in Russia.</w:t>
      </w:r>
    </w:p>
    <w:p w14:paraId="18135B72" w14:textId="77777777" w:rsidR="00063660" w:rsidRPr="00454098" w:rsidRDefault="00227E10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454098">
        <w:rPr>
          <w:rFonts w:ascii="Times New Roman" w:hAnsi="Times New Roman"/>
          <w:sz w:val="28"/>
          <w:lang w:val="en-US"/>
        </w:rPr>
        <w:t>The Company possesses a well-balanced portfolio of assets located in the key Russian oil and gas provinces (West Siberia, Volga-Urals and Central Siberia).</w:t>
      </w:r>
    </w:p>
    <w:p w14:paraId="39A7DABD" w14:textId="77777777" w:rsidR="00063660" w:rsidRPr="00454098" w:rsidRDefault="00227E10">
      <w:pPr>
        <w:spacing w:after="0" w:line="240" w:lineRule="auto"/>
        <w:jc w:val="both"/>
        <w:rPr>
          <w:rFonts w:ascii="Times New Roman" w:hAnsi="Times New Roman"/>
          <w:color w:val="FFFFFF"/>
          <w:lang w:val="en-US"/>
        </w:rPr>
      </w:pPr>
      <w:r w:rsidRPr="00454098">
        <w:rPr>
          <w:rFonts w:ascii="Times New Roman" w:hAnsi="Times New Roman"/>
          <w:sz w:val="28"/>
          <w:lang w:val="en-US"/>
        </w:rPr>
        <w:t>The headcount of the Company is around 7,000 employees.</w:t>
      </w:r>
    </w:p>
    <w:p w14:paraId="777F5295" w14:textId="77777777" w:rsidR="00063660" w:rsidRPr="00454098" w:rsidRDefault="00063660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6A901ABB" w14:textId="77777777" w:rsidR="00063660" w:rsidRPr="00454098" w:rsidRDefault="00227E10" w:rsidP="00454098">
      <w:pPr>
        <w:spacing w:after="0" w:line="240" w:lineRule="auto"/>
        <w:ind w:left="5387"/>
        <w:jc w:val="both"/>
        <w:rPr>
          <w:rFonts w:ascii="Arial" w:hAnsi="Arial" w:cs="Arial"/>
          <w:b/>
          <w:sz w:val="28"/>
          <w:lang w:val="en-US"/>
        </w:rPr>
      </w:pPr>
      <w:r w:rsidRPr="00454098">
        <w:rPr>
          <w:rFonts w:ascii="Arial" w:hAnsi="Arial" w:cs="Arial"/>
          <w:b/>
          <w:sz w:val="28"/>
          <w:lang w:val="en-US"/>
        </w:rPr>
        <w:t>PJSC “RussNeft” Press Service</w:t>
      </w:r>
    </w:p>
    <w:p w14:paraId="0FFEF16A" w14:textId="77777777" w:rsidR="00454098" w:rsidRDefault="00227E10" w:rsidP="00454098">
      <w:pPr>
        <w:spacing w:after="0" w:line="240" w:lineRule="auto"/>
        <w:ind w:left="5387"/>
        <w:jc w:val="both"/>
        <w:rPr>
          <w:rFonts w:ascii="Arial" w:hAnsi="Arial" w:cs="Arial"/>
          <w:b/>
          <w:sz w:val="28"/>
          <w:lang w:val="en-US"/>
        </w:rPr>
      </w:pPr>
      <w:r w:rsidRPr="00454098">
        <w:rPr>
          <w:rFonts w:ascii="Arial" w:hAnsi="Arial" w:cs="Arial"/>
          <w:b/>
          <w:sz w:val="28"/>
          <w:lang w:val="en-US"/>
        </w:rPr>
        <w:t>Tel.: (495) 411-63-24,</w:t>
      </w:r>
    </w:p>
    <w:p w14:paraId="355E7AD6" w14:textId="1789794B" w:rsidR="00063660" w:rsidRPr="00454098" w:rsidRDefault="00227E10" w:rsidP="00454098">
      <w:pPr>
        <w:spacing w:after="0" w:line="240" w:lineRule="auto"/>
        <w:ind w:left="5387"/>
        <w:jc w:val="both"/>
        <w:rPr>
          <w:rFonts w:ascii="Arial" w:hAnsi="Arial" w:cs="Arial"/>
          <w:b/>
          <w:sz w:val="28"/>
          <w:lang w:val="en-US"/>
        </w:rPr>
      </w:pPr>
      <w:r w:rsidRPr="00454098">
        <w:rPr>
          <w:rFonts w:ascii="Arial" w:hAnsi="Arial" w:cs="Arial"/>
          <w:b/>
          <w:sz w:val="28"/>
          <w:lang w:val="en-US"/>
        </w:rPr>
        <w:t>Fax: (495) 411-63-19</w:t>
      </w:r>
    </w:p>
    <w:p w14:paraId="4EB69B6B" w14:textId="30D6EEE9" w:rsidR="00063660" w:rsidRPr="00454098" w:rsidRDefault="00227E10" w:rsidP="00454098">
      <w:pPr>
        <w:spacing w:after="0" w:line="240" w:lineRule="auto"/>
        <w:ind w:left="5387"/>
        <w:jc w:val="both"/>
        <w:rPr>
          <w:rFonts w:ascii="Arial" w:hAnsi="Arial" w:cs="Arial"/>
          <w:b/>
          <w:sz w:val="28"/>
        </w:rPr>
      </w:pPr>
      <w:r w:rsidRPr="00454098">
        <w:rPr>
          <w:rFonts w:ascii="Arial" w:hAnsi="Arial" w:cs="Arial"/>
          <w:b/>
          <w:sz w:val="28"/>
        </w:rPr>
        <w:t>E-mail: pr@russneft.ru</w:t>
      </w:r>
    </w:p>
    <w:sectPr w:rsidR="00063660" w:rsidRPr="0045409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60"/>
    <w:rsid w:val="00063660"/>
    <w:rsid w:val="00227E10"/>
    <w:rsid w:val="00454098"/>
    <w:rsid w:val="00522AAC"/>
    <w:rsid w:val="0068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393A"/>
  <w15:docId w15:val="{9233177F-B9B3-482A-8321-8FD2282F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RussNeft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Татевосова Мария Рудольфовна</dc:creator>
  <cp:lastModifiedBy>Татевосова Мария Рудольфовна</cp:lastModifiedBy>
  <cp:revision>2</cp:revision>
  <dcterms:created xsi:type="dcterms:W3CDTF">2025-06-03T09:30:00Z</dcterms:created>
  <dcterms:modified xsi:type="dcterms:W3CDTF">2025-06-03T09:30:00Z</dcterms:modified>
</cp:coreProperties>
</file>