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F9" w:rsidRDefault="00392432" w:rsidP="000E40F4">
      <w:pPr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8"/>
          <w:lang w:eastAsia="ru-RU"/>
        </w:rPr>
        <w:drawing>
          <wp:inline distT="0" distB="0" distL="0" distR="0">
            <wp:extent cx="2838893" cy="159773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скиз_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756" cy="160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8F9" w:rsidRDefault="002948F9" w:rsidP="000E40F4">
      <w:pPr>
        <w:jc w:val="center"/>
        <w:rPr>
          <w:rFonts w:ascii="Arial" w:hAnsi="Arial" w:cs="Arial"/>
          <w:b/>
          <w:sz w:val="24"/>
          <w:szCs w:val="28"/>
        </w:rPr>
      </w:pPr>
    </w:p>
    <w:p w:rsidR="002948F9" w:rsidRPr="00F63ED6" w:rsidRDefault="00E66026" w:rsidP="000E40F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August</w:t>
      </w:r>
      <w:r w:rsidRPr="00F63ED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392432">
        <w:rPr>
          <w:rFonts w:ascii="Arial" w:hAnsi="Arial" w:cs="Arial"/>
          <w:b/>
          <w:sz w:val="28"/>
          <w:szCs w:val="28"/>
          <w:lang w:val="en-US"/>
        </w:rPr>
        <w:t>27</w:t>
      </w:r>
      <w:r w:rsidRPr="00F63ED6">
        <w:rPr>
          <w:rFonts w:ascii="Arial" w:hAnsi="Arial" w:cs="Arial"/>
          <w:b/>
          <w:sz w:val="28"/>
          <w:szCs w:val="28"/>
          <w:lang w:val="en-US"/>
        </w:rPr>
        <w:t>,</w:t>
      </w:r>
      <w:r w:rsidR="00EC71FB" w:rsidRPr="00F63ED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826404">
        <w:rPr>
          <w:rFonts w:ascii="Arial" w:hAnsi="Arial" w:cs="Arial"/>
          <w:b/>
          <w:sz w:val="28"/>
          <w:szCs w:val="28"/>
          <w:lang w:val="en-US"/>
        </w:rPr>
        <w:t>2021</w:t>
      </w:r>
    </w:p>
    <w:p w:rsidR="00634114" w:rsidRPr="00F63ED6" w:rsidRDefault="00634114" w:rsidP="000E40F4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26404" w:rsidRDefault="00E66026" w:rsidP="00F0726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PJSC “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RussNeft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” </w:t>
      </w:r>
      <w:r w:rsidR="00266D8E">
        <w:rPr>
          <w:rFonts w:ascii="Arial" w:hAnsi="Arial" w:cs="Arial"/>
          <w:b/>
          <w:sz w:val="28"/>
          <w:szCs w:val="28"/>
          <w:lang w:val="en-US"/>
        </w:rPr>
        <w:t>announces</w:t>
      </w:r>
      <w:r>
        <w:rPr>
          <w:rFonts w:ascii="Arial" w:hAnsi="Arial" w:cs="Arial"/>
          <w:b/>
          <w:sz w:val="28"/>
          <w:szCs w:val="28"/>
          <w:lang w:val="en-US"/>
        </w:rPr>
        <w:t xml:space="preserve"> its </w:t>
      </w:r>
    </w:p>
    <w:p w:rsidR="00F07260" w:rsidRPr="00E66026" w:rsidRDefault="00392432" w:rsidP="00F0726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IFRS </w:t>
      </w:r>
      <w:r w:rsidR="00D52850">
        <w:rPr>
          <w:rFonts w:ascii="Arial" w:hAnsi="Arial" w:cs="Arial"/>
          <w:b/>
          <w:sz w:val="28"/>
          <w:szCs w:val="28"/>
          <w:lang w:val="en-US"/>
        </w:rPr>
        <w:t>results for 6M</w:t>
      </w:r>
      <w:r>
        <w:rPr>
          <w:rFonts w:ascii="Arial" w:hAnsi="Arial" w:cs="Arial"/>
          <w:b/>
          <w:sz w:val="28"/>
          <w:szCs w:val="28"/>
          <w:lang w:val="en-US"/>
        </w:rPr>
        <w:t xml:space="preserve"> 2021</w:t>
      </w:r>
    </w:p>
    <w:p w:rsidR="00634114" w:rsidRPr="00E66026" w:rsidRDefault="00634114" w:rsidP="00F0726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134E4" w:rsidRPr="00E66026" w:rsidRDefault="00E66026" w:rsidP="00634114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 w:rsidRPr="00E66026">
        <w:rPr>
          <w:rFonts w:ascii="Arial" w:hAnsi="Arial" w:cs="Arial"/>
          <w:sz w:val="24"/>
          <w:szCs w:val="28"/>
          <w:lang w:val="en-US"/>
        </w:rPr>
        <w:t>PJSC “</w:t>
      </w:r>
      <w:proofErr w:type="spellStart"/>
      <w:r w:rsidRPr="00E66026">
        <w:rPr>
          <w:rFonts w:ascii="Arial" w:hAnsi="Arial" w:cs="Arial"/>
          <w:sz w:val="24"/>
          <w:szCs w:val="28"/>
          <w:lang w:val="en-US"/>
        </w:rPr>
        <w:t>RussNeft</w:t>
      </w:r>
      <w:proofErr w:type="spellEnd"/>
      <w:r w:rsidRPr="00E66026">
        <w:rPr>
          <w:rFonts w:ascii="Arial" w:hAnsi="Arial" w:cs="Arial"/>
          <w:sz w:val="24"/>
          <w:szCs w:val="28"/>
          <w:lang w:val="en-US"/>
        </w:rPr>
        <w:t>”</w:t>
      </w:r>
      <w:r w:rsidR="00F07260" w:rsidRPr="00E66026">
        <w:rPr>
          <w:rFonts w:ascii="Arial" w:hAnsi="Arial" w:cs="Arial"/>
          <w:sz w:val="24"/>
          <w:szCs w:val="28"/>
          <w:lang w:val="en-US"/>
        </w:rPr>
        <w:t xml:space="preserve"> (</w:t>
      </w:r>
      <w:r w:rsidRPr="00E66026">
        <w:rPr>
          <w:rFonts w:ascii="Arial" w:hAnsi="Arial" w:cs="Arial"/>
          <w:sz w:val="24"/>
          <w:szCs w:val="28"/>
          <w:lang w:val="en-US"/>
        </w:rPr>
        <w:t>“</w:t>
      </w:r>
      <w:proofErr w:type="spellStart"/>
      <w:r w:rsidRPr="00E66026">
        <w:rPr>
          <w:rFonts w:ascii="Arial" w:hAnsi="Arial" w:cs="Arial"/>
          <w:sz w:val="24"/>
          <w:szCs w:val="28"/>
          <w:lang w:val="en-US"/>
        </w:rPr>
        <w:t>RussNeft</w:t>
      </w:r>
      <w:proofErr w:type="spellEnd"/>
      <w:r w:rsidRPr="00E66026">
        <w:rPr>
          <w:rFonts w:ascii="Arial" w:hAnsi="Arial" w:cs="Arial"/>
          <w:sz w:val="24"/>
          <w:szCs w:val="28"/>
          <w:lang w:val="en-US"/>
        </w:rPr>
        <w:t xml:space="preserve">” </w:t>
      </w:r>
      <w:r>
        <w:rPr>
          <w:rFonts w:ascii="Arial" w:hAnsi="Arial" w:cs="Arial"/>
          <w:sz w:val="24"/>
          <w:szCs w:val="28"/>
          <w:lang w:val="en-US"/>
        </w:rPr>
        <w:t>or</w:t>
      </w:r>
      <w:r w:rsidRPr="00E66026">
        <w:rPr>
          <w:rFonts w:ascii="Arial" w:hAnsi="Arial" w:cs="Arial"/>
          <w:sz w:val="24"/>
          <w:szCs w:val="28"/>
          <w:lang w:val="en-US"/>
        </w:rPr>
        <w:t xml:space="preserve"> “</w:t>
      </w:r>
      <w:r>
        <w:rPr>
          <w:rFonts w:ascii="Arial" w:hAnsi="Arial" w:cs="Arial"/>
          <w:sz w:val="24"/>
          <w:szCs w:val="28"/>
          <w:lang w:val="en-US"/>
        </w:rPr>
        <w:t>Company</w:t>
      </w:r>
      <w:r w:rsidRPr="00E66026">
        <w:rPr>
          <w:rFonts w:ascii="Arial" w:hAnsi="Arial" w:cs="Arial"/>
          <w:sz w:val="24"/>
          <w:szCs w:val="28"/>
          <w:lang w:val="en-US"/>
        </w:rPr>
        <w:t>”</w:t>
      </w:r>
      <w:r w:rsidR="00F07260" w:rsidRPr="00E66026">
        <w:rPr>
          <w:rFonts w:ascii="Arial" w:hAnsi="Arial" w:cs="Arial"/>
          <w:sz w:val="24"/>
          <w:szCs w:val="28"/>
          <w:lang w:val="en-US"/>
        </w:rPr>
        <w:t>) (MOEX: RNFT)</w:t>
      </w:r>
      <w:r w:rsidRPr="00E66026">
        <w:rPr>
          <w:rFonts w:ascii="Arial" w:hAnsi="Arial" w:cs="Arial"/>
          <w:sz w:val="24"/>
          <w:szCs w:val="28"/>
          <w:lang w:val="en-US"/>
        </w:rPr>
        <w:t xml:space="preserve"> publishes unaudited interim</w:t>
      </w:r>
      <w:r w:rsidR="00392432">
        <w:rPr>
          <w:rFonts w:ascii="Arial" w:hAnsi="Arial" w:cs="Arial"/>
          <w:sz w:val="24"/>
          <w:szCs w:val="28"/>
          <w:lang w:val="en-US"/>
        </w:rPr>
        <w:t xml:space="preserve"> abbreviated</w:t>
      </w:r>
      <w:r w:rsidRPr="00E66026">
        <w:rPr>
          <w:rFonts w:ascii="Arial" w:hAnsi="Arial" w:cs="Arial"/>
          <w:sz w:val="24"/>
          <w:szCs w:val="28"/>
          <w:lang w:val="en-US"/>
        </w:rPr>
        <w:t xml:space="preserve"> consolidated financial statements for </w:t>
      </w:r>
      <w:r w:rsidR="00D52850">
        <w:rPr>
          <w:rFonts w:ascii="Arial" w:hAnsi="Arial" w:cs="Arial"/>
          <w:sz w:val="24"/>
          <w:szCs w:val="28"/>
          <w:lang w:val="en-US"/>
        </w:rPr>
        <w:t>6M</w:t>
      </w:r>
      <w:r w:rsidR="00392432">
        <w:rPr>
          <w:rFonts w:ascii="Arial" w:hAnsi="Arial" w:cs="Arial"/>
          <w:sz w:val="24"/>
          <w:szCs w:val="28"/>
          <w:lang w:val="en-US"/>
        </w:rPr>
        <w:t xml:space="preserve"> 2021</w:t>
      </w:r>
      <w:r w:rsidRPr="00E66026">
        <w:rPr>
          <w:rFonts w:ascii="Arial" w:hAnsi="Arial" w:cs="Arial"/>
          <w:sz w:val="24"/>
          <w:szCs w:val="28"/>
          <w:lang w:val="en-US"/>
        </w:rPr>
        <w:t xml:space="preserve"> prepared in </w:t>
      </w:r>
      <w:r w:rsidR="00392432">
        <w:rPr>
          <w:rFonts w:ascii="Arial" w:hAnsi="Arial" w:cs="Arial"/>
          <w:sz w:val="24"/>
          <w:szCs w:val="28"/>
          <w:lang w:val="en-US"/>
        </w:rPr>
        <w:t>compliance</w:t>
      </w:r>
      <w:r w:rsidRPr="00E66026">
        <w:rPr>
          <w:rFonts w:ascii="Arial" w:hAnsi="Arial" w:cs="Arial"/>
          <w:sz w:val="24"/>
          <w:szCs w:val="28"/>
          <w:lang w:val="en-US"/>
        </w:rPr>
        <w:t xml:space="preserve"> with International Financial Reporting Standards (IFRS).</w:t>
      </w:r>
    </w:p>
    <w:p w:rsidR="00634114" w:rsidRPr="00E66026" w:rsidRDefault="00634114" w:rsidP="00634114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E0209C" w:rsidRPr="00E66026" w:rsidRDefault="00DA5247" w:rsidP="0063411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Highlight</w:t>
      </w:r>
      <w:r w:rsidR="00E66026">
        <w:rPr>
          <w:rFonts w:ascii="Arial" w:hAnsi="Arial" w:cs="Arial"/>
          <w:b/>
          <w:sz w:val="28"/>
          <w:szCs w:val="28"/>
          <w:lang w:val="en-US"/>
        </w:rPr>
        <w:t>s</w:t>
      </w:r>
      <w:r w:rsidR="00E0209C" w:rsidRPr="00E66026">
        <w:rPr>
          <w:rFonts w:ascii="Arial" w:hAnsi="Arial" w:cs="Arial"/>
          <w:b/>
          <w:sz w:val="28"/>
          <w:szCs w:val="28"/>
          <w:lang w:val="en-US"/>
        </w:rPr>
        <w:t>:</w:t>
      </w:r>
    </w:p>
    <w:p w:rsidR="00907AF5" w:rsidRPr="00E66026" w:rsidRDefault="00D06BC7" w:rsidP="00184054">
      <w:pPr>
        <w:pStyle w:val="a8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t>EBITDA</w:t>
      </w:r>
      <w:r w:rsidRPr="00E66026">
        <w:rPr>
          <w:rFonts w:ascii="Arial" w:hAnsi="Arial" w:cs="Arial"/>
          <w:sz w:val="24"/>
          <w:szCs w:val="28"/>
          <w:lang w:val="en-US"/>
        </w:rPr>
        <w:t xml:space="preserve"> </w:t>
      </w:r>
      <w:r w:rsidR="00E66026" w:rsidRPr="004B423C">
        <w:rPr>
          <w:rFonts w:ascii="Arial" w:hAnsi="Arial" w:cs="Arial"/>
          <w:sz w:val="24"/>
          <w:szCs w:val="28"/>
          <w:lang w:val="en-US"/>
        </w:rPr>
        <w:t>grew</w:t>
      </w:r>
      <w:r w:rsidRPr="004B423C">
        <w:rPr>
          <w:rFonts w:ascii="Arial" w:hAnsi="Arial" w:cs="Arial"/>
          <w:sz w:val="24"/>
          <w:szCs w:val="28"/>
          <w:lang w:val="en-US"/>
        </w:rPr>
        <w:t xml:space="preserve"> </w:t>
      </w:r>
      <w:r w:rsidR="00392432">
        <w:rPr>
          <w:rFonts w:ascii="Arial" w:hAnsi="Arial" w:cs="Arial"/>
          <w:sz w:val="24"/>
          <w:szCs w:val="28"/>
          <w:lang w:val="en-US"/>
        </w:rPr>
        <w:t>more than 4.5x</w:t>
      </w:r>
      <w:r w:rsidRPr="004B423C">
        <w:rPr>
          <w:rFonts w:ascii="Arial" w:hAnsi="Arial" w:cs="Arial"/>
          <w:sz w:val="24"/>
          <w:szCs w:val="28"/>
          <w:lang w:val="en-US"/>
        </w:rPr>
        <w:t xml:space="preserve"> </w:t>
      </w:r>
      <w:r w:rsidR="00392432">
        <w:rPr>
          <w:rFonts w:ascii="Arial" w:hAnsi="Arial" w:cs="Arial"/>
          <w:sz w:val="24"/>
          <w:szCs w:val="28"/>
          <w:lang w:val="en-US"/>
        </w:rPr>
        <w:t>making up</w:t>
      </w:r>
      <w:r w:rsidR="00E66026">
        <w:rPr>
          <w:rFonts w:ascii="Arial" w:hAnsi="Arial" w:cs="Arial"/>
          <w:sz w:val="24"/>
          <w:szCs w:val="28"/>
          <w:lang w:val="en-US"/>
        </w:rPr>
        <w:t xml:space="preserve"> RUB</w:t>
      </w:r>
      <w:r w:rsidRPr="00E66026">
        <w:rPr>
          <w:rFonts w:ascii="Arial" w:hAnsi="Arial" w:cs="Arial"/>
          <w:sz w:val="24"/>
          <w:szCs w:val="28"/>
          <w:lang w:val="en-US"/>
        </w:rPr>
        <w:t xml:space="preserve"> </w:t>
      </w:r>
      <w:r w:rsidR="00392432">
        <w:rPr>
          <w:rFonts w:ascii="Arial" w:hAnsi="Arial" w:cs="Arial"/>
          <w:sz w:val="24"/>
          <w:szCs w:val="28"/>
          <w:lang w:val="en-US"/>
        </w:rPr>
        <w:t>33.2</w:t>
      </w:r>
      <w:r w:rsidR="00F063B8" w:rsidRPr="00E66026">
        <w:rPr>
          <w:rFonts w:ascii="Arial" w:hAnsi="Arial" w:cs="Arial"/>
          <w:sz w:val="24"/>
          <w:szCs w:val="28"/>
          <w:lang w:val="en-US"/>
        </w:rPr>
        <w:t xml:space="preserve"> </w:t>
      </w:r>
      <w:r w:rsidR="00266D8E">
        <w:rPr>
          <w:rFonts w:ascii="Arial" w:hAnsi="Arial" w:cs="Arial"/>
          <w:sz w:val="24"/>
          <w:szCs w:val="28"/>
          <w:lang w:val="en-US"/>
        </w:rPr>
        <w:t>bn</w:t>
      </w:r>
      <w:r w:rsidR="00E66026">
        <w:rPr>
          <w:rFonts w:ascii="Arial" w:hAnsi="Arial" w:cs="Arial"/>
          <w:sz w:val="24"/>
          <w:szCs w:val="28"/>
          <w:lang w:val="en-US"/>
        </w:rPr>
        <w:t>.</w:t>
      </w:r>
    </w:p>
    <w:p w:rsidR="001A7D39" w:rsidRPr="00117255" w:rsidRDefault="00117255" w:rsidP="00351CA1">
      <w:pPr>
        <w:pStyle w:val="a8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t>Oil production was</w:t>
      </w:r>
      <w:r w:rsidR="00D06BC7" w:rsidRPr="00117255">
        <w:rPr>
          <w:rFonts w:ascii="Arial" w:hAnsi="Arial" w:cs="Arial"/>
          <w:sz w:val="24"/>
          <w:szCs w:val="28"/>
          <w:lang w:val="en-US"/>
        </w:rPr>
        <w:t xml:space="preserve"> </w:t>
      </w:r>
      <w:r w:rsidR="00351CA1" w:rsidRPr="00117255">
        <w:rPr>
          <w:rFonts w:ascii="Arial" w:hAnsi="Arial" w:cs="Arial"/>
          <w:sz w:val="24"/>
          <w:szCs w:val="28"/>
          <w:lang w:val="en-US"/>
        </w:rPr>
        <w:t>3</w:t>
      </w:r>
      <w:r>
        <w:rPr>
          <w:rFonts w:ascii="Arial" w:hAnsi="Arial" w:cs="Arial"/>
          <w:sz w:val="24"/>
          <w:szCs w:val="28"/>
          <w:lang w:val="en-US"/>
        </w:rPr>
        <w:t>.</w:t>
      </w:r>
      <w:r w:rsidR="00392432">
        <w:rPr>
          <w:rFonts w:ascii="Arial" w:hAnsi="Arial" w:cs="Arial"/>
          <w:sz w:val="24"/>
          <w:szCs w:val="28"/>
          <w:lang w:val="en-US"/>
        </w:rPr>
        <w:t>4</w:t>
      </w:r>
      <w:r w:rsidR="00634114">
        <w:rPr>
          <w:rStyle w:val="a7"/>
          <w:rFonts w:ascii="Arial" w:hAnsi="Arial" w:cs="Arial"/>
          <w:sz w:val="24"/>
          <w:szCs w:val="28"/>
        </w:rPr>
        <w:footnoteReference w:id="1"/>
      </w:r>
      <w:r w:rsidR="00D06BC7" w:rsidRPr="00117255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="00392432">
        <w:rPr>
          <w:rFonts w:ascii="Arial" w:hAnsi="Arial" w:cs="Arial"/>
          <w:sz w:val="24"/>
          <w:szCs w:val="28"/>
          <w:lang w:val="en-US"/>
        </w:rPr>
        <w:t>mln</w:t>
      </w:r>
      <w:proofErr w:type="spellEnd"/>
      <w:r>
        <w:rPr>
          <w:rFonts w:ascii="Arial" w:hAnsi="Arial" w:cs="Arial"/>
          <w:sz w:val="24"/>
          <w:szCs w:val="28"/>
          <w:lang w:val="en-US"/>
        </w:rPr>
        <w:t xml:space="preserve"> </w:t>
      </w:r>
      <w:r w:rsidR="00392432">
        <w:rPr>
          <w:rFonts w:ascii="Arial" w:hAnsi="Arial" w:cs="Arial"/>
          <w:sz w:val="24"/>
          <w:szCs w:val="28"/>
          <w:lang w:val="en-US"/>
        </w:rPr>
        <w:t>tons</w:t>
      </w:r>
      <w:r w:rsidR="00D06BC7" w:rsidRPr="00117255">
        <w:rPr>
          <w:rFonts w:ascii="Arial" w:hAnsi="Arial" w:cs="Arial"/>
          <w:sz w:val="24"/>
          <w:szCs w:val="28"/>
          <w:lang w:val="en-US"/>
        </w:rPr>
        <w:t>.</w:t>
      </w:r>
    </w:p>
    <w:p w:rsidR="00003A20" w:rsidRPr="00117255" w:rsidRDefault="00117255" w:rsidP="001A7D39">
      <w:pPr>
        <w:pStyle w:val="a8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t xml:space="preserve">CAPEX </w:t>
      </w:r>
      <w:r w:rsidR="00392432">
        <w:rPr>
          <w:rFonts w:ascii="Arial" w:hAnsi="Arial" w:cs="Arial"/>
          <w:sz w:val="24"/>
          <w:szCs w:val="28"/>
          <w:lang w:val="en-US"/>
        </w:rPr>
        <w:t>recovered to RUB 9.3</w:t>
      </w:r>
      <w:r w:rsidR="00392432">
        <w:rPr>
          <w:rStyle w:val="a7"/>
          <w:rFonts w:ascii="Arial" w:hAnsi="Arial" w:cs="Arial"/>
          <w:sz w:val="24"/>
          <w:szCs w:val="28"/>
          <w:lang w:val="en-US"/>
        </w:rPr>
        <w:footnoteReference w:id="2"/>
      </w:r>
      <w:r w:rsidR="00392432">
        <w:rPr>
          <w:rFonts w:ascii="Arial" w:hAnsi="Arial" w:cs="Arial"/>
          <w:sz w:val="24"/>
          <w:szCs w:val="28"/>
          <w:lang w:val="en-US"/>
        </w:rPr>
        <w:t xml:space="preserve"> bn.</w:t>
      </w:r>
    </w:p>
    <w:p w:rsidR="00DB58B8" w:rsidRPr="002E167A" w:rsidRDefault="00117255" w:rsidP="008D762A">
      <w:pPr>
        <w:pStyle w:val="a8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t>Net debt/</w:t>
      </w:r>
      <w:r w:rsidR="00DB58B8" w:rsidRPr="002E167A">
        <w:rPr>
          <w:rFonts w:ascii="Arial" w:hAnsi="Arial" w:cs="Arial"/>
          <w:sz w:val="24"/>
          <w:szCs w:val="28"/>
          <w:lang w:val="en-US"/>
        </w:rPr>
        <w:t xml:space="preserve">EBITDA </w:t>
      </w:r>
      <w:r>
        <w:rPr>
          <w:rFonts w:ascii="Arial" w:hAnsi="Arial" w:cs="Arial"/>
          <w:sz w:val="24"/>
          <w:szCs w:val="28"/>
          <w:lang w:val="en-US"/>
        </w:rPr>
        <w:t>ratio was</w:t>
      </w:r>
      <w:r w:rsidR="00DB58B8" w:rsidRPr="002E167A">
        <w:rPr>
          <w:rFonts w:ascii="Arial" w:hAnsi="Arial" w:cs="Arial"/>
          <w:sz w:val="24"/>
          <w:szCs w:val="28"/>
          <w:lang w:val="en-US"/>
        </w:rPr>
        <w:t xml:space="preserve"> </w:t>
      </w:r>
      <w:r w:rsidR="00266D8E">
        <w:rPr>
          <w:rFonts w:ascii="Arial" w:hAnsi="Arial" w:cs="Arial"/>
          <w:sz w:val="24"/>
          <w:szCs w:val="28"/>
          <w:lang w:val="en-US"/>
        </w:rPr>
        <w:t xml:space="preserve">at </w:t>
      </w:r>
      <w:r w:rsidRPr="002E167A">
        <w:rPr>
          <w:rFonts w:ascii="Arial" w:hAnsi="Arial" w:cs="Arial"/>
          <w:sz w:val="24"/>
          <w:szCs w:val="28"/>
          <w:lang w:val="en-US"/>
        </w:rPr>
        <w:t>1.</w:t>
      </w:r>
      <w:r w:rsidR="00392432">
        <w:rPr>
          <w:rFonts w:ascii="Arial" w:hAnsi="Arial" w:cs="Arial"/>
          <w:sz w:val="24"/>
          <w:szCs w:val="28"/>
          <w:lang w:val="en-US"/>
        </w:rPr>
        <w:t>2</w:t>
      </w:r>
      <w:r w:rsidR="004076A8" w:rsidRPr="002E167A">
        <w:rPr>
          <w:rFonts w:ascii="Arial" w:hAnsi="Arial" w:cs="Arial"/>
          <w:sz w:val="24"/>
          <w:szCs w:val="28"/>
          <w:lang w:val="en-US"/>
        </w:rPr>
        <w:t>.</w:t>
      </w:r>
    </w:p>
    <w:p w:rsidR="001A7D39" w:rsidRPr="002E167A" w:rsidRDefault="001A7D39" w:rsidP="00271BF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1A7D39" w:rsidRPr="002E167A" w:rsidRDefault="001A7D39" w:rsidP="00271BF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1A7D39" w:rsidRPr="002E167A" w:rsidRDefault="001A7D39" w:rsidP="00271BF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1A7D39" w:rsidRPr="002E167A" w:rsidRDefault="001A7D39" w:rsidP="00271BF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E167A" w:rsidRDefault="002E167A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 w:type="page"/>
      </w:r>
    </w:p>
    <w:p w:rsidR="000E40F4" w:rsidRPr="002E167A" w:rsidRDefault="002E167A" w:rsidP="00271BF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Key performance </w:t>
      </w:r>
      <w:r w:rsidR="007550F9">
        <w:rPr>
          <w:rFonts w:ascii="Arial" w:hAnsi="Arial" w:cs="Arial"/>
          <w:b/>
          <w:sz w:val="28"/>
          <w:szCs w:val="28"/>
          <w:lang w:val="en-US"/>
        </w:rPr>
        <w:t>indicator</w:t>
      </w:r>
      <w:r>
        <w:rPr>
          <w:rFonts w:ascii="Arial" w:hAnsi="Arial" w:cs="Arial"/>
          <w:b/>
          <w:sz w:val="28"/>
          <w:szCs w:val="28"/>
          <w:lang w:val="en-US"/>
        </w:rPr>
        <w:t>s</w:t>
      </w:r>
    </w:p>
    <w:p w:rsidR="00634114" w:rsidRPr="00C03A78" w:rsidRDefault="007550F9" w:rsidP="00887FA6">
      <w:pPr>
        <w:tabs>
          <w:tab w:val="left" w:pos="8627"/>
        </w:tabs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Financial</w:t>
      </w:r>
      <w:r w:rsidR="00C03A78">
        <w:rPr>
          <w:rFonts w:ascii="Arial" w:hAnsi="Arial" w:cs="Arial"/>
          <w:b/>
          <w:sz w:val="28"/>
          <w:szCs w:val="28"/>
          <w:lang w:val="en-US"/>
        </w:rPr>
        <w:t>s</w:t>
      </w:r>
      <w:r w:rsidR="00887FA6" w:rsidRPr="00C03A78">
        <w:rPr>
          <w:rFonts w:ascii="Arial" w:hAnsi="Arial" w:cs="Arial"/>
          <w:b/>
          <w:sz w:val="28"/>
          <w:szCs w:val="28"/>
          <w:lang w:val="en-US"/>
        </w:rPr>
        <w:tab/>
      </w:r>
    </w:p>
    <w:tbl>
      <w:tblPr>
        <w:tblW w:w="9012" w:type="dxa"/>
        <w:tblLook w:val="04A0" w:firstRow="1" w:lastRow="0" w:firstColumn="1" w:lastColumn="0" w:noHBand="0" w:noVBand="1"/>
      </w:tblPr>
      <w:tblGrid>
        <w:gridCol w:w="5498"/>
        <w:gridCol w:w="1853"/>
        <w:gridCol w:w="1661"/>
      </w:tblGrid>
      <w:tr w:rsidR="00392432" w:rsidRPr="00634114" w:rsidTr="00605D20">
        <w:trPr>
          <w:trHeight w:val="321"/>
        </w:trPr>
        <w:tc>
          <w:tcPr>
            <w:tcW w:w="5498" w:type="dxa"/>
            <w:shd w:val="clear" w:color="auto" w:fill="auto"/>
            <w:vAlign w:val="center"/>
            <w:hideMark/>
          </w:tcPr>
          <w:p w:rsidR="00392432" w:rsidRPr="00C03A78" w:rsidRDefault="00392432" w:rsidP="00755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val="en-US" w:eastAsia="ru-RU"/>
              </w:rPr>
              <w:t xml:space="preserve">RUB Billion 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392432" w:rsidRPr="00634114" w:rsidRDefault="00392432" w:rsidP="00392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val="en-US" w:eastAsia="ru-RU"/>
              </w:rPr>
              <w:t xml:space="preserve">6M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92432" w:rsidRPr="00634114" w:rsidRDefault="00392432" w:rsidP="00392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val="en-US" w:eastAsia="ru-RU"/>
              </w:rPr>
              <w:t xml:space="preserve">6M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2020</w:t>
            </w:r>
          </w:p>
        </w:tc>
      </w:tr>
      <w:tr w:rsidR="00392432" w:rsidRPr="00634114" w:rsidTr="00605D20">
        <w:trPr>
          <w:trHeight w:val="321"/>
        </w:trPr>
        <w:tc>
          <w:tcPr>
            <w:tcW w:w="5498" w:type="dxa"/>
            <w:shd w:val="clear" w:color="auto" w:fill="auto"/>
            <w:vAlign w:val="center"/>
            <w:hideMark/>
          </w:tcPr>
          <w:p w:rsidR="00392432" w:rsidRPr="00C03A78" w:rsidRDefault="00392432" w:rsidP="00392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Revenue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392432" w:rsidRDefault="00392432" w:rsidP="00392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  <w:p w:rsidR="00392432" w:rsidRPr="00634114" w:rsidRDefault="00392432" w:rsidP="00392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114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23</w:t>
            </w:r>
            <w:r w:rsidRPr="00634114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92432" w:rsidRDefault="00392432" w:rsidP="00392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  <w:p w:rsidR="00392432" w:rsidRPr="00386F73" w:rsidRDefault="00392432" w:rsidP="00392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60,1</w:t>
            </w:r>
          </w:p>
        </w:tc>
      </w:tr>
      <w:tr w:rsidR="00392432" w:rsidRPr="00634114" w:rsidTr="00605D20">
        <w:trPr>
          <w:trHeight w:val="306"/>
        </w:trPr>
        <w:tc>
          <w:tcPr>
            <w:tcW w:w="5498" w:type="dxa"/>
            <w:shd w:val="clear" w:color="auto" w:fill="auto"/>
            <w:vAlign w:val="center"/>
            <w:hideMark/>
          </w:tcPr>
          <w:p w:rsidR="00392432" w:rsidRPr="00634114" w:rsidRDefault="00392432" w:rsidP="003924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EBITDA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392432" w:rsidRDefault="00392432" w:rsidP="00392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  <w:p w:rsidR="00392432" w:rsidRPr="00634114" w:rsidRDefault="00392432" w:rsidP="00392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33</w:t>
            </w:r>
            <w:r w:rsidRPr="00634114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92432" w:rsidRDefault="00392432" w:rsidP="00392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  <w:p w:rsidR="00392432" w:rsidRPr="00634114" w:rsidRDefault="00392432" w:rsidP="00392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6</w:t>
            </w:r>
            <w:r w:rsidRPr="00634114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392432" w:rsidRPr="00634114" w:rsidTr="00605D20">
        <w:trPr>
          <w:trHeight w:val="306"/>
        </w:trPr>
        <w:tc>
          <w:tcPr>
            <w:tcW w:w="5498" w:type="dxa"/>
            <w:shd w:val="clear" w:color="auto" w:fill="auto"/>
            <w:vAlign w:val="center"/>
            <w:hideMark/>
          </w:tcPr>
          <w:p w:rsidR="00392432" w:rsidRPr="00F63ED6" w:rsidRDefault="00392432" w:rsidP="0039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EBITDA margin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392432" w:rsidRDefault="00392432" w:rsidP="00392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392432" w:rsidRPr="00D179DA" w:rsidRDefault="00392432" w:rsidP="00392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27%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92432" w:rsidRDefault="00392432" w:rsidP="0039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     </w:t>
            </w:r>
          </w:p>
          <w:p w:rsidR="00392432" w:rsidRPr="00D179DA" w:rsidRDefault="00392432" w:rsidP="00392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11%</w:t>
            </w:r>
          </w:p>
        </w:tc>
      </w:tr>
      <w:tr w:rsidR="00392432" w:rsidRPr="00634114" w:rsidTr="00605D20">
        <w:trPr>
          <w:trHeight w:val="350"/>
        </w:trPr>
        <w:tc>
          <w:tcPr>
            <w:tcW w:w="5498" w:type="dxa"/>
            <w:shd w:val="clear" w:color="auto" w:fill="auto"/>
            <w:vAlign w:val="center"/>
          </w:tcPr>
          <w:p w:rsidR="00392432" w:rsidRPr="00392432" w:rsidRDefault="00392432" w:rsidP="0039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Profit</w:t>
            </w:r>
            <w:r w:rsidRPr="00F63ED6"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 xml:space="preserve"> attributable 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shareholders of the P</w:t>
            </w:r>
            <w:r w:rsidRPr="00F63ED6"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arent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 xml:space="preserve"> company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392432" w:rsidRPr="00634114" w:rsidRDefault="00392432" w:rsidP="00392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13,6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392432" w:rsidRDefault="00392432" w:rsidP="00392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(13,2)</w:t>
            </w:r>
          </w:p>
        </w:tc>
      </w:tr>
      <w:tr w:rsidR="00392432" w:rsidRPr="00634114" w:rsidTr="00605D20">
        <w:trPr>
          <w:trHeight w:val="306"/>
        </w:trPr>
        <w:tc>
          <w:tcPr>
            <w:tcW w:w="5498" w:type="dxa"/>
            <w:shd w:val="clear" w:color="auto" w:fill="auto"/>
            <w:vAlign w:val="center"/>
            <w:hideMark/>
          </w:tcPr>
          <w:p w:rsidR="00392432" w:rsidRPr="00634114" w:rsidRDefault="00392432" w:rsidP="00605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Adjusted profit</w:t>
            </w:r>
            <w:r w:rsidR="00605D20"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/(loss)</w:t>
            </w:r>
            <w:r>
              <w:rPr>
                <w:rStyle w:val="a7"/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footnoteReference w:id="3"/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392432" w:rsidRPr="00634114" w:rsidRDefault="00392432" w:rsidP="00392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4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92432" w:rsidRDefault="00392432" w:rsidP="00392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(17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3)</w:t>
            </w:r>
          </w:p>
        </w:tc>
      </w:tr>
      <w:tr w:rsidR="00392432" w:rsidRPr="00634114" w:rsidTr="00605D20">
        <w:trPr>
          <w:trHeight w:val="68"/>
        </w:trPr>
        <w:tc>
          <w:tcPr>
            <w:tcW w:w="5498" w:type="dxa"/>
            <w:shd w:val="clear" w:color="auto" w:fill="auto"/>
            <w:vAlign w:val="center"/>
          </w:tcPr>
          <w:p w:rsidR="00392432" w:rsidRPr="00634114" w:rsidRDefault="00392432" w:rsidP="00634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392432" w:rsidRPr="00634114" w:rsidRDefault="00392432" w:rsidP="00D26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392432" w:rsidRPr="00634114" w:rsidRDefault="00392432" w:rsidP="00634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5D20" w:rsidRDefault="00605D20" w:rsidP="00F63ED6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F63ED6" w:rsidRPr="00F63ED6" w:rsidRDefault="00CE66DE" w:rsidP="00F63ED6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t>I</w:t>
      </w:r>
      <w:r w:rsidR="00F63ED6" w:rsidRPr="00F63ED6">
        <w:rPr>
          <w:rFonts w:ascii="Arial" w:hAnsi="Arial" w:cs="Arial"/>
          <w:sz w:val="24"/>
          <w:szCs w:val="28"/>
          <w:lang w:val="en-US"/>
        </w:rPr>
        <w:t xml:space="preserve">n </w:t>
      </w:r>
      <w:r w:rsidR="00A231F8">
        <w:rPr>
          <w:rFonts w:ascii="Arial" w:hAnsi="Arial" w:cs="Arial"/>
          <w:sz w:val="24"/>
          <w:szCs w:val="28"/>
          <w:lang w:val="en-US"/>
        </w:rPr>
        <w:t>H1</w:t>
      </w:r>
      <w:r w:rsidR="00605D20">
        <w:rPr>
          <w:rFonts w:ascii="Arial" w:hAnsi="Arial" w:cs="Arial"/>
          <w:sz w:val="24"/>
          <w:szCs w:val="28"/>
          <w:lang w:val="en-US"/>
        </w:rPr>
        <w:t xml:space="preserve"> 2021</w:t>
      </w:r>
      <w:r w:rsidR="00F63ED6" w:rsidRPr="00F63ED6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="00A231F8" w:rsidRPr="00F63ED6">
        <w:rPr>
          <w:rFonts w:ascii="Arial" w:hAnsi="Arial" w:cs="Arial"/>
          <w:sz w:val="24"/>
          <w:szCs w:val="28"/>
          <w:lang w:val="en-US"/>
        </w:rPr>
        <w:t>RussNeft</w:t>
      </w:r>
      <w:proofErr w:type="spellEnd"/>
      <w:r w:rsidR="00A231F8" w:rsidRPr="00F63ED6">
        <w:rPr>
          <w:rFonts w:ascii="Arial" w:hAnsi="Arial" w:cs="Arial"/>
          <w:sz w:val="24"/>
          <w:szCs w:val="28"/>
          <w:lang w:val="en-US"/>
        </w:rPr>
        <w:t xml:space="preserve"> </w:t>
      </w:r>
      <w:r w:rsidR="00F63ED6" w:rsidRPr="00F63ED6">
        <w:rPr>
          <w:rFonts w:ascii="Arial" w:hAnsi="Arial" w:cs="Arial"/>
          <w:sz w:val="24"/>
          <w:szCs w:val="28"/>
          <w:lang w:val="en-US"/>
        </w:rPr>
        <w:t>demonstrated significant revenue growth (+</w:t>
      </w:r>
      <w:r w:rsidR="0016591B">
        <w:rPr>
          <w:rFonts w:ascii="Arial" w:hAnsi="Arial" w:cs="Arial"/>
          <w:sz w:val="24"/>
          <w:szCs w:val="28"/>
          <w:lang w:val="en-US"/>
        </w:rPr>
        <w:t xml:space="preserve"> RUB </w:t>
      </w:r>
      <w:r w:rsidR="00605D20">
        <w:rPr>
          <w:rFonts w:ascii="Arial" w:hAnsi="Arial" w:cs="Arial"/>
          <w:sz w:val="24"/>
          <w:szCs w:val="28"/>
          <w:lang w:val="en-US"/>
        </w:rPr>
        <w:t>64</w:t>
      </w:r>
      <w:r w:rsidR="0016591B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="00D52850">
        <w:rPr>
          <w:rFonts w:ascii="Arial" w:hAnsi="Arial" w:cs="Arial"/>
          <w:sz w:val="24"/>
          <w:szCs w:val="28"/>
          <w:lang w:val="en-US"/>
        </w:rPr>
        <w:t>bn</w:t>
      </w:r>
      <w:proofErr w:type="spellEnd"/>
      <w:r w:rsidR="00F63ED6" w:rsidRPr="00F63ED6">
        <w:rPr>
          <w:rFonts w:ascii="Arial" w:hAnsi="Arial" w:cs="Arial"/>
          <w:sz w:val="24"/>
          <w:szCs w:val="28"/>
          <w:lang w:val="en-US"/>
        </w:rPr>
        <w:t xml:space="preserve">) </w:t>
      </w:r>
      <w:r w:rsidR="00A231F8">
        <w:rPr>
          <w:rFonts w:ascii="Arial" w:hAnsi="Arial" w:cs="Arial"/>
          <w:sz w:val="24"/>
          <w:szCs w:val="28"/>
          <w:lang w:val="en-US"/>
        </w:rPr>
        <w:t>on the YoY basis</w:t>
      </w:r>
      <w:r w:rsidR="00605D20">
        <w:rPr>
          <w:rFonts w:ascii="Arial" w:hAnsi="Arial" w:cs="Arial"/>
          <w:sz w:val="24"/>
          <w:szCs w:val="28"/>
          <w:lang w:val="en-US"/>
        </w:rPr>
        <w:t>.</w:t>
      </w:r>
      <w:r w:rsidR="0059570A">
        <w:rPr>
          <w:rFonts w:ascii="Arial" w:hAnsi="Arial" w:cs="Arial"/>
          <w:sz w:val="24"/>
          <w:szCs w:val="28"/>
          <w:lang w:val="en-US"/>
        </w:rPr>
        <w:t xml:space="preserve"> </w:t>
      </w:r>
      <w:r w:rsidR="00605D20" w:rsidRPr="00605D20">
        <w:rPr>
          <w:rFonts w:ascii="Arial" w:hAnsi="Arial" w:cs="Arial"/>
          <w:sz w:val="24"/>
          <w:szCs w:val="28"/>
          <w:lang w:val="en-US"/>
        </w:rPr>
        <w:t xml:space="preserve">The growth of the </w:t>
      </w:r>
      <w:r w:rsidR="00605D20">
        <w:rPr>
          <w:rFonts w:ascii="Arial" w:hAnsi="Arial" w:cs="Arial"/>
          <w:sz w:val="24"/>
          <w:szCs w:val="28"/>
          <w:lang w:val="en-US"/>
        </w:rPr>
        <w:t>factor</w:t>
      </w:r>
      <w:r w:rsidR="00605D20" w:rsidRPr="00605D20">
        <w:rPr>
          <w:rFonts w:ascii="Arial" w:hAnsi="Arial" w:cs="Arial"/>
          <w:sz w:val="24"/>
          <w:szCs w:val="28"/>
          <w:lang w:val="en-US"/>
        </w:rPr>
        <w:t xml:space="preserve"> is mainly associated with the </w:t>
      </w:r>
      <w:r w:rsidR="00605D20">
        <w:rPr>
          <w:rFonts w:ascii="Arial" w:hAnsi="Arial" w:cs="Arial"/>
          <w:sz w:val="24"/>
          <w:szCs w:val="28"/>
          <w:lang w:val="en-US"/>
        </w:rPr>
        <w:t>rise</w:t>
      </w:r>
      <w:r w:rsidR="00605D20" w:rsidRPr="00605D20">
        <w:rPr>
          <w:rFonts w:ascii="Arial" w:hAnsi="Arial" w:cs="Arial"/>
          <w:sz w:val="24"/>
          <w:szCs w:val="28"/>
          <w:lang w:val="en-US"/>
        </w:rPr>
        <w:t xml:space="preserve"> </w:t>
      </w:r>
      <w:r w:rsidR="00D52850">
        <w:rPr>
          <w:rFonts w:ascii="Arial" w:hAnsi="Arial" w:cs="Arial"/>
          <w:sz w:val="24"/>
          <w:szCs w:val="28"/>
          <w:lang w:val="en-US"/>
        </w:rPr>
        <w:t>in</w:t>
      </w:r>
      <w:r w:rsidR="00605D20" w:rsidRPr="00605D20">
        <w:rPr>
          <w:rFonts w:ascii="Arial" w:hAnsi="Arial" w:cs="Arial"/>
          <w:sz w:val="24"/>
          <w:szCs w:val="28"/>
          <w:lang w:val="en-US"/>
        </w:rPr>
        <w:t xml:space="preserve"> world </w:t>
      </w:r>
      <w:r w:rsidR="00605D20">
        <w:rPr>
          <w:rFonts w:ascii="Arial" w:hAnsi="Arial" w:cs="Arial"/>
          <w:sz w:val="24"/>
          <w:szCs w:val="28"/>
          <w:lang w:val="en-US"/>
        </w:rPr>
        <w:t xml:space="preserve">oil </w:t>
      </w:r>
      <w:r w:rsidR="00605D20" w:rsidRPr="00605D20">
        <w:rPr>
          <w:rFonts w:ascii="Arial" w:hAnsi="Arial" w:cs="Arial"/>
          <w:sz w:val="24"/>
          <w:szCs w:val="28"/>
          <w:lang w:val="en-US"/>
        </w:rPr>
        <w:t xml:space="preserve">prices and </w:t>
      </w:r>
      <w:r w:rsidR="00D52850" w:rsidRPr="00605D20">
        <w:rPr>
          <w:rFonts w:ascii="Arial" w:hAnsi="Arial" w:cs="Arial"/>
          <w:sz w:val="24"/>
          <w:szCs w:val="28"/>
          <w:lang w:val="en-US"/>
        </w:rPr>
        <w:t xml:space="preserve">domestic market </w:t>
      </w:r>
      <w:r w:rsidR="00605D20">
        <w:rPr>
          <w:rFonts w:ascii="Arial" w:hAnsi="Arial" w:cs="Arial"/>
          <w:sz w:val="24"/>
          <w:szCs w:val="28"/>
          <w:lang w:val="en-US"/>
        </w:rPr>
        <w:t xml:space="preserve">oil </w:t>
      </w:r>
      <w:r w:rsidR="00605D20" w:rsidRPr="00605D20">
        <w:rPr>
          <w:rFonts w:ascii="Arial" w:hAnsi="Arial" w:cs="Arial"/>
          <w:sz w:val="24"/>
          <w:szCs w:val="28"/>
          <w:lang w:val="en-US"/>
        </w:rPr>
        <w:t xml:space="preserve">prices </w:t>
      </w:r>
      <w:r w:rsidR="00605D20">
        <w:rPr>
          <w:rFonts w:ascii="Arial" w:hAnsi="Arial" w:cs="Arial"/>
          <w:sz w:val="24"/>
          <w:szCs w:val="28"/>
          <w:lang w:val="en-US"/>
        </w:rPr>
        <w:t>(</w:t>
      </w:r>
      <w:r w:rsidR="00D52850">
        <w:rPr>
          <w:rFonts w:ascii="Arial" w:hAnsi="Arial" w:cs="Arial"/>
          <w:sz w:val="24"/>
          <w:szCs w:val="28"/>
          <w:lang w:val="en-US"/>
        </w:rPr>
        <w:t xml:space="preserve">Urals </w:t>
      </w:r>
      <w:r w:rsidR="00605D20" w:rsidRPr="00605D20">
        <w:rPr>
          <w:rFonts w:ascii="Arial" w:hAnsi="Arial" w:cs="Arial"/>
          <w:sz w:val="24"/>
          <w:szCs w:val="28"/>
          <w:lang w:val="en-US"/>
        </w:rPr>
        <w:t>av</w:t>
      </w:r>
      <w:r w:rsidR="00605D20">
        <w:rPr>
          <w:rFonts w:ascii="Arial" w:hAnsi="Arial" w:cs="Arial"/>
          <w:sz w:val="24"/>
          <w:szCs w:val="28"/>
          <w:lang w:val="en-US"/>
        </w:rPr>
        <w:t>erage price was $ 63.4/</w:t>
      </w:r>
      <w:proofErr w:type="spellStart"/>
      <w:r w:rsidR="00605D20">
        <w:rPr>
          <w:rFonts w:ascii="Arial" w:hAnsi="Arial" w:cs="Arial"/>
          <w:sz w:val="24"/>
          <w:szCs w:val="28"/>
          <w:lang w:val="en-US"/>
        </w:rPr>
        <w:t>bbl</w:t>
      </w:r>
      <w:proofErr w:type="spellEnd"/>
      <w:r w:rsidR="00605D20">
        <w:rPr>
          <w:rFonts w:ascii="Arial" w:hAnsi="Arial" w:cs="Arial"/>
          <w:sz w:val="24"/>
          <w:szCs w:val="28"/>
          <w:lang w:val="en-US"/>
        </w:rPr>
        <w:t xml:space="preserve"> in 6M 2021</w:t>
      </w:r>
      <w:r w:rsidR="00605D20" w:rsidRPr="00605D20">
        <w:rPr>
          <w:rFonts w:ascii="Arial" w:hAnsi="Arial" w:cs="Arial"/>
          <w:sz w:val="24"/>
          <w:szCs w:val="28"/>
          <w:lang w:val="en-US"/>
        </w:rPr>
        <w:t xml:space="preserve"> </w:t>
      </w:r>
      <w:r w:rsidR="00605D20">
        <w:rPr>
          <w:rFonts w:ascii="Arial" w:hAnsi="Arial" w:cs="Arial"/>
          <w:sz w:val="24"/>
          <w:szCs w:val="28"/>
          <w:lang w:val="en-US"/>
        </w:rPr>
        <w:t>versus $ 39.0</w:t>
      </w:r>
      <w:r w:rsidR="00605D20" w:rsidRPr="00605D20">
        <w:rPr>
          <w:rFonts w:ascii="Arial" w:hAnsi="Arial" w:cs="Arial"/>
          <w:sz w:val="24"/>
          <w:szCs w:val="28"/>
          <w:lang w:val="en-US"/>
        </w:rPr>
        <w:t>/</w:t>
      </w:r>
      <w:proofErr w:type="spellStart"/>
      <w:r w:rsidR="00605D20" w:rsidRPr="00605D20">
        <w:rPr>
          <w:rFonts w:ascii="Arial" w:hAnsi="Arial" w:cs="Arial"/>
          <w:sz w:val="24"/>
          <w:szCs w:val="28"/>
          <w:lang w:val="en-US"/>
        </w:rPr>
        <w:t>bbl</w:t>
      </w:r>
      <w:proofErr w:type="spellEnd"/>
      <w:r w:rsidR="00605D20" w:rsidRPr="00605D20">
        <w:rPr>
          <w:rFonts w:ascii="Arial" w:hAnsi="Arial" w:cs="Arial"/>
          <w:sz w:val="24"/>
          <w:szCs w:val="28"/>
          <w:lang w:val="en-US"/>
        </w:rPr>
        <w:t xml:space="preserve"> in 6M 2020).</w:t>
      </w:r>
    </w:p>
    <w:p w:rsidR="00F63ED6" w:rsidRPr="00F63ED6" w:rsidRDefault="00F63ED6" w:rsidP="00F63ED6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 w:rsidRPr="00F63ED6">
        <w:rPr>
          <w:rFonts w:ascii="Arial" w:hAnsi="Arial" w:cs="Arial"/>
          <w:sz w:val="24"/>
          <w:szCs w:val="28"/>
          <w:lang w:val="en-US"/>
        </w:rPr>
        <w:t xml:space="preserve">The profit attributable to the shareholders of the Parent company significantly exceeded the </w:t>
      </w:r>
      <w:r w:rsidR="00A231F8">
        <w:rPr>
          <w:rFonts w:ascii="Arial" w:hAnsi="Arial" w:cs="Arial"/>
          <w:sz w:val="24"/>
          <w:szCs w:val="28"/>
          <w:lang w:val="en-US"/>
        </w:rPr>
        <w:t>H1 20</w:t>
      </w:r>
      <w:r w:rsidR="00605D20">
        <w:rPr>
          <w:rFonts w:ascii="Arial" w:hAnsi="Arial" w:cs="Arial"/>
          <w:sz w:val="24"/>
          <w:szCs w:val="28"/>
          <w:lang w:val="en-US"/>
        </w:rPr>
        <w:t>20</w:t>
      </w:r>
      <w:r w:rsidR="00A231F8">
        <w:rPr>
          <w:rFonts w:ascii="Arial" w:hAnsi="Arial" w:cs="Arial"/>
          <w:sz w:val="24"/>
          <w:szCs w:val="28"/>
          <w:lang w:val="en-US"/>
        </w:rPr>
        <w:t xml:space="preserve"> indicator, having reached</w:t>
      </w:r>
      <w:r w:rsidRPr="00F63ED6">
        <w:rPr>
          <w:rFonts w:ascii="Arial" w:hAnsi="Arial" w:cs="Arial"/>
          <w:sz w:val="24"/>
          <w:szCs w:val="28"/>
          <w:lang w:val="en-US"/>
        </w:rPr>
        <w:t xml:space="preserve"> </w:t>
      </w:r>
      <w:r w:rsidR="00A231F8">
        <w:rPr>
          <w:rFonts w:ascii="Arial" w:hAnsi="Arial" w:cs="Arial"/>
          <w:sz w:val="24"/>
          <w:szCs w:val="28"/>
          <w:lang w:val="en-US"/>
        </w:rPr>
        <w:t xml:space="preserve">RUB </w:t>
      </w:r>
      <w:r w:rsidR="00605D20">
        <w:rPr>
          <w:rFonts w:ascii="Arial" w:hAnsi="Arial" w:cs="Arial"/>
          <w:sz w:val="24"/>
          <w:szCs w:val="28"/>
          <w:lang w:val="en-US"/>
        </w:rPr>
        <w:t>13</w:t>
      </w:r>
      <w:r w:rsidRPr="00F63ED6">
        <w:rPr>
          <w:rFonts w:ascii="Arial" w:hAnsi="Arial" w:cs="Arial"/>
          <w:sz w:val="24"/>
          <w:szCs w:val="28"/>
          <w:lang w:val="en-US"/>
        </w:rPr>
        <w:t>.</w:t>
      </w:r>
      <w:r w:rsidR="00605D20">
        <w:rPr>
          <w:rFonts w:ascii="Arial" w:hAnsi="Arial" w:cs="Arial"/>
          <w:sz w:val="24"/>
          <w:szCs w:val="28"/>
          <w:lang w:val="en-US"/>
        </w:rPr>
        <w:t xml:space="preserve">6 </w:t>
      </w:r>
      <w:proofErr w:type="spellStart"/>
      <w:r w:rsidR="00D52850">
        <w:rPr>
          <w:rFonts w:ascii="Arial" w:hAnsi="Arial" w:cs="Arial"/>
          <w:sz w:val="24"/>
          <w:szCs w:val="28"/>
          <w:lang w:val="en-US"/>
        </w:rPr>
        <w:t>bn</w:t>
      </w:r>
      <w:proofErr w:type="spellEnd"/>
      <w:r w:rsidRPr="00F63ED6">
        <w:rPr>
          <w:rFonts w:ascii="Arial" w:hAnsi="Arial" w:cs="Arial"/>
          <w:sz w:val="24"/>
          <w:szCs w:val="28"/>
          <w:lang w:val="en-US"/>
        </w:rPr>
        <w:t xml:space="preserve"> against </w:t>
      </w:r>
      <w:r w:rsidR="00A231F8">
        <w:rPr>
          <w:rFonts w:ascii="Arial" w:hAnsi="Arial" w:cs="Arial"/>
          <w:sz w:val="24"/>
          <w:szCs w:val="28"/>
          <w:lang w:val="en-US"/>
        </w:rPr>
        <w:t xml:space="preserve">RUB </w:t>
      </w:r>
      <w:r w:rsidRPr="00F63ED6">
        <w:rPr>
          <w:rFonts w:ascii="Arial" w:hAnsi="Arial" w:cs="Arial"/>
          <w:sz w:val="24"/>
          <w:szCs w:val="28"/>
          <w:lang w:val="en-US"/>
        </w:rPr>
        <w:t>1</w:t>
      </w:r>
      <w:r w:rsidR="00605D20">
        <w:rPr>
          <w:rFonts w:ascii="Arial" w:hAnsi="Arial" w:cs="Arial"/>
          <w:sz w:val="24"/>
          <w:szCs w:val="28"/>
          <w:lang w:val="en-US"/>
        </w:rPr>
        <w:t>3.2</w:t>
      </w:r>
      <w:r w:rsidRPr="00F63ED6">
        <w:rPr>
          <w:rFonts w:ascii="Arial" w:hAnsi="Arial" w:cs="Arial"/>
          <w:sz w:val="24"/>
          <w:szCs w:val="28"/>
          <w:lang w:val="en-US"/>
        </w:rPr>
        <w:t xml:space="preserve"> billion </w:t>
      </w:r>
      <w:r w:rsidR="00605D20">
        <w:rPr>
          <w:rFonts w:ascii="Arial" w:hAnsi="Arial" w:cs="Arial"/>
          <w:sz w:val="24"/>
          <w:szCs w:val="28"/>
          <w:lang w:val="en-US"/>
        </w:rPr>
        <w:t>of loss last year</w:t>
      </w:r>
      <w:r w:rsidRPr="00F63ED6">
        <w:rPr>
          <w:rFonts w:ascii="Arial" w:hAnsi="Arial" w:cs="Arial"/>
          <w:sz w:val="24"/>
          <w:szCs w:val="28"/>
          <w:lang w:val="en-US"/>
        </w:rPr>
        <w:t>.</w:t>
      </w:r>
    </w:p>
    <w:p w:rsidR="00F63ED6" w:rsidRPr="00F63ED6" w:rsidRDefault="00605D20" w:rsidP="00F63ED6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t>Adjusted p</w:t>
      </w:r>
      <w:r w:rsidR="00F63ED6" w:rsidRPr="00F63ED6">
        <w:rPr>
          <w:rFonts w:ascii="Arial" w:hAnsi="Arial" w:cs="Arial"/>
          <w:sz w:val="24"/>
          <w:szCs w:val="28"/>
          <w:lang w:val="en-US"/>
        </w:rPr>
        <w:t xml:space="preserve">rofit for the reporting period </w:t>
      </w:r>
      <w:r w:rsidR="00146FD1">
        <w:rPr>
          <w:rFonts w:ascii="Arial" w:hAnsi="Arial" w:cs="Arial"/>
          <w:sz w:val="24"/>
          <w:szCs w:val="28"/>
          <w:lang w:val="en-US"/>
        </w:rPr>
        <w:t>made up</w:t>
      </w:r>
      <w:r w:rsidR="00F63ED6" w:rsidRPr="00F63ED6">
        <w:rPr>
          <w:rFonts w:ascii="Arial" w:hAnsi="Arial" w:cs="Arial"/>
          <w:sz w:val="24"/>
          <w:szCs w:val="28"/>
          <w:lang w:val="en-US"/>
        </w:rPr>
        <w:t xml:space="preserve"> </w:t>
      </w:r>
      <w:r w:rsidR="00A231F8">
        <w:rPr>
          <w:rFonts w:ascii="Arial" w:hAnsi="Arial" w:cs="Arial"/>
          <w:sz w:val="24"/>
          <w:szCs w:val="28"/>
          <w:lang w:val="en-US"/>
        </w:rPr>
        <w:t xml:space="preserve">RUB </w:t>
      </w:r>
      <w:r>
        <w:rPr>
          <w:rFonts w:ascii="Arial" w:hAnsi="Arial" w:cs="Arial"/>
          <w:sz w:val="24"/>
          <w:szCs w:val="28"/>
          <w:lang w:val="en-US"/>
        </w:rPr>
        <w:t>17.4</w:t>
      </w:r>
      <w:r w:rsidR="00F63ED6" w:rsidRPr="00F63ED6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8"/>
          <w:lang w:val="en-US"/>
        </w:rPr>
        <w:t>bn</w:t>
      </w:r>
      <w:proofErr w:type="spellEnd"/>
      <w:r w:rsidR="00A231F8">
        <w:rPr>
          <w:rFonts w:ascii="Arial" w:hAnsi="Arial" w:cs="Arial"/>
          <w:sz w:val="24"/>
          <w:szCs w:val="28"/>
          <w:lang w:val="en-US"/>
        </w:rPr>
        <w:t>,</w:t>
      </w:r>
      <w:r w:rsidR="00F63ED6" w:rsidRPr="00F63ED6">
        <w:rPr>
          <w:rFonts w:ascii="Arial" w:hAnsi="Arial" w:cs="Arial"/>
          <w:sz w:val="24"/>
          <w:szCs w:val="28"/>
          <w:lang w:val="en-US"/>
        </w:rPr>
        <w:t xml:space="preserve"> </w:t>
      </w:r>
      <w:r w:rsidR="00DF4014">
        <w:rPr>
          <w:rFonts w:ascii="Arial" w:hAnsi="Arial" w:cs="Arial"/>
          <w:sz w:val="24"/>
          <w:szCs w:val="28"/>
          <w:lang w:val="en-US"/>
        </w:rPr>
        <w:t xml:space="preserve">driven </w:t>
      </w:r>
      <w:r w:rsidR="00F63ED6" w:rsidRPr="00F63ED6">
        <w:rPr>
          <w:rFonts w:ascii="Arial" w:hAnsi="Arial" w:cs="Arial"/>
          <w:sz w:val="24"/>
          <w:szCs w:val="28"/>
          <w:lang w:val="en-US"/>
        </w:rPr>
        <w:t xml:space="preserve">mainly </w:t>
      </w:r>
      <w:r>
        <w:rPr>
          <w:rFonts w:ascii="Arial" w:hAnsi="Arial" w:cs="Arial"/>
          <w:sz w:val="24"/>
          <w:szCs w:val="28"/>
          <w:lang w:val="en-US"/>
        </w:rPr>
        <w:t>by oil prices recovery after oil shock in 2020</w:t>
      </w:r>
      <w:r w:rsidR="00F63ED6" w:rsidRPr="00F63ED6">
        <w:rPr>
          <w:rFonts w:ascii="Arial" w:hAnsi="Arial" w:cs="Arial"/>
          <w:sz w:val="24"/>
          <w:szCs w:val="28"/>
          <w:lang w:val="en-US"/>
        </w:rPr>
        <w:t>.</w:t>
      </w:r>
    </w:p>
    <w:p w:rsidR="00702783" w:rsidRPr="00605D20" w:rsidRDefault="00F63ED6" w:rsidP="007B156B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 w:rsidRPr="00F63ED6">
        <w:rPr>
          <w:rFonts w:ascii="Arial" w:hAnsi="Arial" w:cs="Arial"/>
          <w:sz w:val="24"/>
          <w:szCs w:val="28"/>
          <w:lang w:val="en-US"/>
        </w:rPr>
        <w:t>EBITDA</w:t>
      </w:r>
      <w:r w:rsidRPr="00B07CAD">
        <w:rPr>
          <w:rFonts w:ascii="Arial" w:hAnsi="Arial" w:cs="Arial"/>
          <w:sz w:val="24"/>
          <w:szCs w:val="28"/>
          <w:lang w:val="en-US"/>
        </w:rPr>
        <w:t xml:space="preserve"> </w:t>
      </w:r>
      <w:r w:rsidRPr="00F63ED6">
        <w:rPr>
          <w:rFonts w:ascii="Arial" w:hAnsi="Arial" w:cs="Arial"/>
          <w:sz w:val="24"/>
          <w:szCs w:val="28"/>
          <w:lang w:val="en-US"/>
        </w:rPr>
        <w:t>amounted</w:t>
      </w:r>
      <w:r w:rsidRPr="00B07CAD">
        <w:rPr>
          <w:rFonts w:ascii="Arial" w:hAnsi="Arial" w:cs="Arial"/>
          <w:sz w:val="24"/>
          <w:szCs w:val="28"/>
          <w:lang w:val="en-US"/>
        </w:rPr>
        <w:t xml:space="preserve"> </w:t>
      </w:r>
      <w:r w:rsidRPr="00F63ED6">
        <w:rPr>
          <w:rFonts w:ascii="Arial" w:hAnsi="Arial" w:cs="Arial"/>
          <w:sz w:val="24"/>
          <w:szCs w:val="28"/>
          <w:lang w:val="en-US"/>
        </w:rPr>
        <w:t>to</w:t>
      </w:r>
      <w:r w:rsidRPr="00B07CAD">
        <w:rPr>
          <w:rFonts w:ascii="Arial" w:hAnsi="Arial" w:cs="Arial"/>
          <w:sz w:val="24"/>
          <w:szCs w:val="28"/>
          <w:lang w:val="en-US"/>
        </w:rPr>
        <w:t xml:space="preserve"> </w:t>
      </w:r>
      <w:r w:rsidR="000F1FA2">
        <w:rPr>
          <w:rFonts w:ascii="Arial" w:hAnsi="Arial" w:cs="Arial"/>
          <w:sz w:val="24"/>
          <w:szCs w:val="28"/>
          <w:lang w:val="en-US"/>
        </w:rPr>
        <w:t>RUB</w:t>
      </w:r>
      <w:r w:rsidR="000F1FA2" w:rsidRPr="00B07CAD">
        <w:rPr>
          <w:rFonts w:ascii="Arial" w:hAnsi="Arial" w:cs="Arial"/>
          <w:sz w:val="24"/>
          <w:szCs w:val="28"/>
          <w:lang w:val="en-US"/>
        </w:rPr>
        <w:t xml:space="preserve"> </w:t>
      </w:r>
      <w:r w:rsidR="00605D20">
        <w:rPr>
          <w:rFonts w:ascii="Arial" w:hAnsi="Arial" w:cs="Arial"/>
          <w:sz w:val="24"/>
          <w:szCs w:val="28"/>
          <w:lang w:val="en-US"/>
        </w:rPr>
        <w:t>33</w:t>
      </w:r>
      <w:r w:rsidRPr="00B07CAD">
        <w:rPr>
          <w:rFonts w:ascii="Arial" w:hAnsi="Arial" w:cs="Arial"/>
          <w:sz w:val="24"/>
          <w:szCs w:val="28"/>
          <w:lang w:val="en-US"/>
        </w:rPr>
        <w:t>.</w:t>
      </w:r>
      <w:r w:rsidR="00605D20">
        <w:rPr>
          <w:rFonts w:ascii="Arial" w:hAnsi="Arial" w:cs="Arial"/>
          <w:sz w:val="24"/>
          <w:szCs w:val="28"/>
          <w:lang w:val="en-US"/>
        </w:rPr>
        <w:t>2</w:t>
      </w:r>
      <w:r w:rsidRPr="00B07CAD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="00605D20">
        <w:rPr>
          <w:rFonts w:ascii="Arial" w:hAnsi="Arial" w:cs="Arial"/>
          <w:sz w:val="24"/>
          <w:szCs w:val="28"/>
          <w:lang w:val="en-US"/>
        </w:rPr>
        <w:t>bn</w:t>
      </w:r>
      <w:proofErr w:type="spellEnd"/>
      <w:r w:rsidRPr="00B07CAD">
        <w:rPr>
          <w:rFonts w:ascii="Arial" w:hAnsi="Arial" w:cs="Arial"/>
          <w:sz w:val="24"/>
          <w:szCs w:val="28"/>
          <w:lang w:val="en-US"/>
        </w:rPr>
        <w:t xml:space="preserve">, </w:t>
      </w:r>
      <w:r w:rsidR="00146FD1">
        <w:rPr>
          <w:rFonts w:ascii="Arial" w:hAnsi="Arial" w:cs="Arial"/>
          <w:sz w:val="24"/>
          <w:szCs w:val="28"/>
          <w:lang w:val="en-US"/>
        </w:rPr>
        <w:t xml:space="preserve">a </w:t>
      </w:r>
      <w:r w:rsidR="00605D20">
        <w:rPr>
          <w:rFonts w:ascii="Arial" w:hAnsi="Arial" w:cs="Arial"/>
          <w:sz w:val="24"/>
          <w:szCs w:val="28"/>
          <w:lang w:val="en-US"/>
        </w:rPr>
        <w:t>4.5x</w:t>
      </w:r>
      <w:r w:rsidRPr="00B07CAD">
        <w:rPr>
          <w:rFonts w:ascii="Arial" w:hAnsi="Arial" w:cs="Arial"/>
          <w:sz w:val="24"/>
          <w:szCs w:val="28"/>
          <w:lang w:val="en-US"/>
        </w:rPr>
        <w:t xml:space="preserve"> </w:t>
      </w:r>
      <w:r w:rsidR="00D52850">
        <w:rPr>
          <w:rFonts w:ascii="Arial" w:hAnsi="Arial" w:cs="Arial"/>
          <w:sz w:val="24"/>
          <w:szCs w:val="28"/>
          <w:lang w:val="en-US"/>
        </w:rPr>
        <w:t xml:space="preserve">YoY </w:t>
      </w:r>
      <w:r w:rsidR="00146FD1">
        <w:rPr>
          <w:rFonts w:ascii="Arial" w:hAnsi="Arial" w:cs="Arial"/>
          <w:sz w:val="24"/>
          <w:szCs w:val="28"/>
          <w:lang w:val="en-US"/>
        </w:rPr>
        <w:t>increase</w:t>
      </w:r>
      <w:r w:rsidR="00605D20">
        <w:rPr>
          <w:rFonts w:ascii="Arial" w:hAnsi="Arial" w:cs="Arial"/>
          <w:sz w:val="24"/>
          <w:szCs w:val="28"/>
          <w:lang w:val="en-US"/>
        </w:rPr>
        <w:t>, exceeding the factors of pre-crisis period.</w:t>
      </w:r>
    </w:p>
    <w:p w:rsidR="006A1102" w:rsidRPr="00B07CAD" w:rsidRDefault="003C3610" w:rsidP="00887FA6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 w:rsidRPr="00B07CAD">
        <w:rPr>
          <w:rFonts w:ascii="Arial" w:hAnsi="Arial" w:cs="Arial"/>
          <w:sz w:val="24"/>
          <w:szCs w:val="28"/>
          <w:lang w:val="en-US"/>
        </w:rPr>
        <w:t xml:space="preserve"> </w:t>
      </w:r>
    </w:p>
    <w:p w:rsidR="00637BF0" w:rsidRPr="007B156B" w:rsidRDefault="007B156B" w:rsidP="008679B6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Operating results</w:t>
      </w:r>
    </w:p>
    <w:tbl>
      <w:tblPr>
        <w:tblW w:w="8849" w:type="dxa"/>
        <w:tblInd w:w="108" w:type="dxa"/>
        <w:tblLook w:val="04A0" w:firstRow="1" w:lastRow="0" w:firstColumn="1" w:lastColumn="0" w:noHBand="0" w:noVBand="1"/>
      </w:tblPr>
      <w:tblGrid>
        <w:gridCol w:w="4803"/>
        <w:gridCol w:w="2089"/>
        <w:gridCol w:w="1957"/>
      </w:tblGrid>
      <w:tr w:rsidR="00605D20" w:rsidRPr="00887FA6" w:rsidTr="00605D20">
        <w:trPr>
          <w:trHeight w:val="473"/>
        </w:trPr>
        <w:tc>
          <w:tcPr>
            <w:tcW w:w="48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05D20" w:rsidRPr="00887FA6" w:rsidRDefault="00605D20" w:rsidP="00887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15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Operating</w:t>
            </w:r>
            <w:proofErr w:type="spellEnd"/>
            <w:r w:rsidRPr="007B15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results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05D20" w:rsidRPr="00887FA6" w:rsidRDefault="00605D20" w:rsidP="00605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05D20" w:rsidRPr="00887FA6" w:rsidRDefault="00605D20" w:rsidP="00D52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D528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  <w:r w:rsidRPr="00887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E12E3" w:rsidRPr="00887FA6" w:rsidTr="00605D20">
        <w:trPr>
          <w:trHeight w:val="400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2E3" w:rsidRPr="007B156B" w:rsidRDefault="000E12E3" w:rsidP="000E12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Crude oil production</w:t>
            </w:r>
            <w:r w:rsidRPr="007B15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mln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t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2E3" w:rsidRPr="00887FA6" w:rsidRDefault="000E12E3" w:rsidP="000E1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3,427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2E3" w:rsidRPr="008D762A" w:rsidRDefault="000E12E3" w:rsidP="000E1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3,563</w:t>
            </w:r>
          </w:p>
        </w:tc>
      </w:tr>
      <w:tr w:rsidR="000E12E3" w:rsidRPr="00887FA6" w:rsidTr="00605D20">
        <w:trPr>
          <w:trHeight w:val="3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2E3" w:rsidRPr="007B156B" w:rsidRDefault="000E12E3" w:rsidP="000E12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  <w:t>Oil production in RF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2E3" w:rsidRPr="00887FA6" w:rsidRDefault="000E12E3" w:rsidP="000E1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3,191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2E3" w:rsidRPr="001A7D39" w:rsidRDefault="000E12E3" w:rsidP="000E1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3,319</w:t>
            </w:r>
          </w:p>
        </w:tc>
      </w:tr>
      <w:tr w:rsidR="000E12E3" w:rsidRPr="00887FA6" w:rsidTr="00605D20">
        <w:trPr>
          <w:trHeight w:val="364"/>
        </w:trPr>
        <w:tc>
          <w:tcPr>
            <w:tcW w:w="48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12E3" w:rsidRPr="000E12E3" w:rsidRDefault="000E12E3" w:rsidP="000E12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  <w:t>Oil production under PSAs in Azerbaijan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12E3" w:rsidRPr="00887FA6" w:rsidRDefault="000E12E3" w:rsidP="000E1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0,236</w:t>
            </w: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12E3" w:rsidRPr="00887FA6" w:rsidRDefault="000E12E3" w:rsidP="000E1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0,244</w:t>
            </w:r>
          </w:p>
        </w:tc>
      </w:tr>
      <w:tr w:rsidR="000E12E3" w:rsidRPr="00887FA6" w:rsidTr="00605D20">
        <w:trPr>
          <w:trHeight w:val="364"/>
        </w:trPr>
        <w:tc>
          <w:tcPr>
            <w:tcW w:w="48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E12E3" w:rsidRPr="00033EDA" w:rsidRDefault="000E12E3" w:rsidP="000E12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  <w:t>Gas production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  <w:t>mln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  <w:t xml:space="preserve"> m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E12E3" w:rsidRPr="00887FA6" w:rsidRDefault="000E12E3" w:rsidP="000E1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1 021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E12E3" w:rsidRPr="001A7D39" w:rsidRDefault="000E12E3" w:rsidP="000E1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1 195</w:t>
            </w:r>
          </w:p>
        </w:tc>
      </w:tr>
    </w:tbl>
    <w:p w:rsidR="00DB059E" w:rsidRDefault="00DB059E" w:rsidP="00637BF0">
      <w:pPr>
        <w:jc w:val="both"/>
        <w:rPr>
          <w:rFonts w:ascii="Arial" w:hAnsi="Arial" w:cs="Arial"/>
          <w:b/>
          <w:sz w:val="28"/>
          <w:szCs w:val="28"/>
        </w:rPr>
      </w:pPr>
    </w:p>
    <w:p w:rsidR="000E12E3" w:rsidRDefault="000E12E3" w:rsidP="00D52850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 w:rsidRPr="000E12E3">
        <w:rPr>
          <w:rFonts w:ascii="Arial" w:hAnsi="Arial" w:cs="Arial"/>
          <w:sz w:val="24"/>
          <w:szCs w:val="28"/>
          <w:lang w:val="en-US"/>
        </w:rPr>
        <w:t xml:space="preserve">A slight decrease in oil production </w:t>
      </w:r>
      <w:r>
        <w:rPr>
          <w:rFonts w:ascii="Arial" w:hAnsi="Arial" w:cs="Arial"/>
          <w:sz w:val="24"/>
          <w:szCs w:val="28"/>
          <w:lang w:val="en-US"/>
        </w:rPr>
        <w:t xml:space="preserve">against </w:t>
      </w:r>
      <w:r w:rsidRPr="000E12E3">
        <w:rPr>
          <w:rFonts w:ascii="Arial" w:hAnsi="Arial" w:cs="Arial"/>
          <w:sz w:val="24"/>
          <w:szCs w:val="28"/>
          <w:lang w:val="en-US"/>
        </w:rPr>
        <w:t xml:space="preserve">the same period last year (-4%) or 136 </w:t>
      </w:r>
      <w:r w:rsidR="0035026F">
        <w:rPr>
          <w:rFonts w:ascii="Arial" w:hAnsi="Arial" w:cs="Arial"/>
          <w:sz w:val="24"/>
          <w:szCs w:val="28"/>
          <w:lang w:val="en-US"/>
        </w:rPr>
        <w:t>k</w:t>
      </w:r>
      <w:r w:rsidRPr="000E12E3">
        <w:rPr>
          <w:rFonts w:ascii="Arial" w:hAnsi="Arial" w:cs="Arial"/>
          <w:sz w:val="24"/>
          <w:szCs w:val="28"/>
          <w:lang w:val="en-US"/>
        </w:rPr>
        <w:t xml:space="preserve"> tons of oil </w:t>
      </w:r>
      <w:r w:rsidR="0035026F">
        <w:rPr>
          <w:rFonts w:ascii="Arial" w:hAnsi="Arial" w:cs="Arial"/>
          <w:sz w:val="24"/>
          <w:szCs w:val="28"/>
          <w:lang w:val="en-US"/>
        </w:rPr>
        <w:t>by volume</w:t>
      </w:r>
      <w:r w:rsidRPr="000E12E3">
        <w:rPr>
          <w:rFonts w:ascii="Arial" w:hAnsi="Arial" w:cs="Arial"/>
          <w:sz w:val="24"/>
          <w:szCs w:val="28"/>
          <w:lang w:val="en-US"/>
        </w:rPr>
        <w:t xml:space="preserve"> was due to the OPEC + deal. The decrease in gas production volumes </w:t>
      </w:r>
      <w:r w:rsidR="0035026F">
        <w:rPr>
          <w:rFonts w:ascii="Arial" w:hAnsi="Arial" w:cs="Arial"/>
          <w:sz w:val="24"/>
          <w:szCs w:val="28"/>
          <w:lang w:val="en-US"/>
        </w:rPr>
        <w:t xml:space="preserve">against H1, </w:t>
      </w:r>
      <w:r w:rsidRPr="000E12E3">
        <w:rPr>
          <w:rFonts w:ascii="Arial" w:hAnsi="Arial" w:cs="Arial"/>
          <w:sz w:val="24"/>
          <w:szCs w:val="28"/>
          <w:lang w:val="en-US"/>
        </w:rPr>
        <w:t>2020 (-15%) is also associated with oil production</w:t>
      </w:r>
      <w:r w:rsidR="0035026F" w:rsidRPr="0035026F">
        <w:rPr>
          <w:rFonts w:ascii="Arial" w:hAnsi="Arial" w:cs="Arial"/>
          <w:sz w:val="24"/>
          <w:szCs w:val="28"/>
          <w:lang w:val="en-US"/>
        </w:rPr>
        <w:t xml:space="preserve"> </w:t>
      </w:r>
      <w:r w:rsidR="0035026F" w:rsidRPr="000E12E3">
        <w:rPr>
          <w:rFonts w:ascii="Arial" w:hAnsi="Arial" w:cs="Arial"/>
          <w:sz w:val="24"/>
          <w:szCs w:val="28"/>
          <w:lang w:val="en-US"/>
        </w:rPr>
        <w:t>restrictions</w:t>
      </w:r>
      <w:r w:rsidRPr="000E12E3">
        <w:rPr>
          <w:rFonts w:ascii="Arial" w:hAnsi="Arial" w:cs="Arial"/>
          <w:sz w:val="24"/>
          <w:szCs w:val="28"/>
          <w:lang w:val="en-US"/>
        </w:rPr>
        <w:t>.</w:t>
      </w:r>
    </w:p>
    <w:p w:rsidR="00271BFD" w:rsidRPr="000E12E3" w:rsidRDefault="008851EE" w:rsidP="00271BFD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Capital investments</w:t>
      </w:r>
      <w:r w:rsidR="0086687E">
        <w:rPr>
          <w:rStyle w:val="a7"/>
          <w:rFonts w:ascii="Arial" w:hAnsi="Arial" w:cs="Arial"/>
          <w:b/>
          <w:sz w:val="28"/>
          <w:szCs w:val="28"/>
        </w:rPr>
        <w:footnoteReference w:id="4"/>
      </w:r>
    </w:p>
    <w:tbl>
      <w:tblPr>
        <w:tblW w:w="8904" w:type="dxa"/>
        <w:tblInd w:w="108" w:type="dxa"/>
        <w:tblLook w:val="04A0" w:firstRow="1" w:lastRow="0" w:firstColumn="1" w:lastColumn="0" w:noHBand="0" w:noVBand="1"/>
      </w:tblPr>
      <w:tblGrid>
        <w:gridCol w:w="5082"/>
        <w:gridCol w:w="1911"/>
        <w:gridCol w:w="1911"/>
      </w:tblGrid>
      <w:tr w:rsidR="0035026F" w:rsidRPr="0035026F" w:rsidTr="0035026F">
        <w:trPr>
          <w:trHeight w:val="685"/>
        </w:trPr>
        <w:tc>
          <w:tcPr>
            <w:tcW w:w="5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5026F" w:rsidRPr="008851EE" w:rsidRDefault="0035026F" w:rsidP="008851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Capital investments</w:t>
            </w:r>
            <w:r w:rsidRPr="008851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assimilation</w:t>
            </w:r>
            <w:r w:rsidRPr="008851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),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RUB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bln</w:t>
            </w:r>
            <w:proofErr w:type="spellEnd"/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5026F" w:rsidRPr="0035026F" w:rsidRDefault="0035026F" w:rsidP="00350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502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 2021</w:t>
            </w:r>
            <w:r w:rsidRPr="003502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5026F" w:rsidRPr="0035026F" w:rsidRDefault="0035026F" w:rsidP="00350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502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2020</w:t>
            </w:r>
            <w:r w:rsidRPr="003502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5026F" w:rsidRPr="00B55AA0" w:rsidTr="0035026F">
        <w:trPr>
          <w:trHeight w:val="342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26F" w:rsidRPr="00CC36C8" w:rsidRDefault="0035026F" w:rsidP="0035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PRODUCTION DRILLING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F" w:rsidRPr="00B55AA0" w:rsidRDefault="0035026F" w:rsidP="00350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  <w:r w:rsidRPr="00B55A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F" w:rsidRPr="00B55AA0" w:rsidRDefault="0035026F" w:rsidP="00350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  <w:r w:rsidRPr="00B55A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35026F" w:rsidRPr="008D762A" w:rsidTr="0035026F">
        <w:trPr>
          <w:trHeight w:val="358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26F" w:rsidRPr="00B55AA0" w:rsidRDefault="0035026F" w:rsidP="0035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BASЕ PRODUCTION 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F" w:rsidRPr="00B55AA0" w:rsidRDefault="0035026F" w:rsidP="00350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F" w:rsidRPr="00B55AA0" w:rsidRDefault="0035026F" w:rsidP="00350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</w:tr>
      <w:tr w:rsidR="0035026F" w:rsidRPr="008D762A" w:rsidTr="0035026F">
        <w:trPr>
          <w:trHeight w:val="311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26F" w:rsidRPr="008D3F4F" w:rsidRDefault="0035026F" w:rsidP="0035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WELL INTERVENTIONS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F" w:rsidRPr="00B55AA0" w:rsidRDefault="0035026F" w:rsidP="00350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F" w:rsidRPr="00B55AA0" w:rsidRDefault="0035026F" w:rsidP="00350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</w:tr>
      <w:tr w:rsidR="0035026F" w:rsidRPr="008D762A" w:rsidTr="0035026F">
        <w:trPr>
          <w:trHeight w:val="311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26F" w:rsidRPr="00CC36C8" w:rsidRDefault="0035026F" w:rsidP="0035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GAS PROGRAMME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F" w:rsidRPr="00B55AA0" w:rsidRDefault="0035026F" w:rsidP="00350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F" w:rsidRPr="00B55AA0" w:rsidRDefault="0035026F" w:rsidP="00350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0,003</w:t>
            </w:r>
          </w:p>
        </w:tc>
      </w:tr>
      <w:tr w:rsidR="0035026F" w:rsidRPr="008D762A" w:rsidTr="0035026F">
        <w:trPr>
          <w:trHeight w:val="327"/>
        </w:trPr>
        <w:tc>
          <w:tcPr>
            <w:tcW w:w="50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5026F" w:rsidRPr="00BE34F9" w:rsidRDefault="0035026F" w:rsidP="0035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GEOLOGICAL AND EXPLORATION WORKS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26F" w:rsidRPr="00B55AA0" w:rsidRDefault="0035026F" w:rsidP="00350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0,03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26F" w:rsidRPr="00B55AA0" w:rsidRDefault="0035026F" w:rsidP="00350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</w:tr>
      <w:tr w:rsidR="0035026F" w:rsidRPr="004E2A67" w:rsidTr="0035026F">
        <w:trPr>
          <w:trHeight w:val="327"/>
        </w:trPr>
        <w:tc>
          <w:tcPr>
            <w:tcW w:w="508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5026F" w:rsidRPr="004E2A67" w:rsidRDefault="0035026F" w:rsidP="00350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191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5026F" w:rsidRPr="00B55AA0" w:rsidRDefault="0035026F" w:rsidP="00350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9,3</w:t>
            </w:r>
            <w:r w:rsidRPr="00B55A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5026F" w:rsidRPr="00B55AA0" w:rsidRDefault="0035026F" w:rsidP="00350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</w:tbl>
    <w:p w:rsidR="00887FA6" w:rsidRDefault="00887FA6" w:rsidP="00271BFD">
      <w:pPr>
        <w:jc w:val="both"/>
        <w:rPr>
          <w:rFonts w:ascii="Arial" w:hAnsi="Arial" w:cs="Arial"/>
          <w:b/>
          <w:sz w:val="28"/>
          <w:szCs w:val="28"/>
        </w:rPr>
      </w:pPr>
    </w:p>
    <w:p w:rsidR="00CC36C8" w:rsidRDefault="00CC36C8" w:rsidP="004B423C">
      <w:pPr>
        <w:spacing w:line="360" w:lineRule="auto"/>
        <w:ind w:left="63"/>
        <w:jc w:val="both"/>
        <w:rPr>
          <w:rFonts w:ascii="Arial" w:hAnsi="Arial" w:cs="Arial"/>
          <w:sz w:val="24"/>
          <w:szCs w:val="28"/>
          <w:lang w:val="en-US"/>
        </w:rPr>
      </w:pPr>
      <w:r w:rsidRPr="00CC36C8">
        <w:rPr>
          <w:rFonts w:ascii="Arial" w:hAnsi="Arial" w:cs="Arial"/>
          <w:sz w:val="24"/>
          <w:szCs w:val="28"/>
          <w:lang w:val="en-US"/>
        </w:rPr>
        <w:t xml:space="preserve">The strategy of the Company provides for </w:t>
      </w:r>
      <w:r w:rsidR="005A7326">
        <w:rPr>
          <w:rFonts w:ascii="Arial" w:hAnsi="Arial" w:cs="Arial"/>
          <w:sz w:val="24"/>
          <w:szCs w:val="28"/>
          <w:lang w:val="en-US"/>
        </w:rPr>
        <w:t>intense</w:t>
      </w:r>
      <w:r w:rsidR="00D36690">
        <w:rPr>
          <w:rFonts w:ascii="Arial" w:hAnsi="Arial" w:cs="Arial"/>
          <w:sz w:val="24"/>
          <w:szCs w:val="28"/>
          <w:lang w:val="en-US"/>
        </w:rPr>
        <w:t xml:space="preserve"> investment activity</w:t>
      </w:r>
      <w:r w:rsidRPr="00CC36C8">
        <w:rPr>
          <w:rFonts w:ascii="Arial" w:hAnsi="Arial" w:cs="Arial"/>
          <w:sz w:val="24"/>
          <w:szCs w:val="28"/>
          <w:lang w:val="en-US"/>
        </w:rPr>
        <w:t xml:space="preserve"> aimed at maintaining the rate of productio</w:t>
      </w:r>
      <w:r w:rsidR="005D4ADF">
        <w:rPr>
          <w:rFonts w:ascii="Arial" w:hAnsi="Arial" w:cs="Arial"/>
          <w:sz w:val="24"/>
          <w:szCs w:val="28"/>
          <w:lang w:val="en-US"/>
        </w:rPr>
        <w:t xml:space="preserve">n. </w:t>
      </w:r>
    </w:p>
    <w:p w:rsidR="00B414BA" w:rsidRPr="005D4ADF" w:rsidRDefault="00CC36C8" w:rsidP="004B423C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5D4ADF">
        <w:rPr>
          <w:rFonts w:ascii="Arial" w:hAnsi="Arial" w:cs="Arial"/>
          <w:b/>
          <w:sz w:val="28"/>
          <w:szCs w:val="28"/>
          <w:lang w:val="en-US"/>
        </w:rPr>
        <w:t>Debt portfolio</w:t>
      </w:r>
    </w:p>
    <w:p w:rsidR="00F34ACA" w:rsidRPr="007E0B8F" w:rsidRDefault="0035026F" w:rsidP="00B414BA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 w:rsidRPr="0035026F">
        <w:rPr>
          <w:rFonts w:ascii="Arial" w:hAnsi="Arial" w:cs="Arial"/>
          <w:sz w:val="24"/>
          <w:szCs w:val="28"/>
          <w:lang w:val="en-US"/>
        </w:rPr>
        <w:t xml:space="preserve">CQUR BANK LLC </w:t>
      </w:r>
      <w:r>
        <w:rPr>
          <w:rFonts w:ascii="Arial" w:hAnsi="Arial" w:cs="Arial"/>
          <w:sz w:val="24"/>
          <w:szCs w:val="28"/>
          <w:lang w:val="en-US"/>
        </w:rPr>
        <w:t>provided a loan to t</w:t>
      </w:r>
      <w:r w:rsidRPr="0035026F">
        <w:rPr>
          <w:rFonts w:ascii="Arial" w:hAnsi="Arial" w:cs="Arial"/>
          <w:sz w:val="24"/>
          <w:szCs w:val="28"/>
          <w:lang w:val="en-US"/>
        </w:rPr>
        <w:t xml:space="preserve">he company </w:t>
      </w:r>
      <w:r w:rsidR="00D52850">
        <w:rPr>
          <w:rFonts w:ascii="Arial" w:hAnsi="Arial" w:cs="Arial"/>
          <w:sz w:val="24"/>
          <w:szCs w:val="28"/>
          <w:lang w:val="en-US"/>
        </w:rPr>
        <w:t>for the sum of</w:t>
      </w:r>
      <w:r w:rsidRPr="0035026F">
        <w:rPr>
          <w:rFonts w:ascii="Arial" w:hAnsi="Arial" w:cs="Arial"/>
          <w:sz w:val="24"/>
          <w:szCs w:val="28"/>
          <w:lang w:val="en-US"/>
        </w:rPr>
        <w:t xml:space="preserve"> USD 1.126 </w:t>
      </w:r>
      <w:r>
        <w:rPr>
          <w:rFonts w:ascii="Arial" w:hAnsi="Arial" w:cs="Arial"/>
          <w:sz w:val="24"/>
          <w:szCs w:val="28"/>
          <w:lang w:val="en-US"/>
        </w:rPr>
        <w:t>bn</w:t>
      </w:r>
      <w:r w:rsidRPr="0035026F">
        <w:rPr>
          <w:rFonts w:ascii="Arial" w:hAnsi="Arial" w:cs="Arial"/>
          <w:sz w:val="24"/>
          <w:szCs w:val="28"/>
          <w:lang w:val="en-US"/>
        </w:rPr>
        <w:t xml:space="preserve">. According to the terms of the loan, from March 2021, the Company began to repay the </w:t>
      </w:r>
      <w:r w:rsidR="00D52850">
        <w:rPr>
          <w:rFonts w:ascii="Arial" w:hAnsi="Arial" w:cs="Arial"/>
          <w:sz w:val="24"/>
          <w:szCs w:val="28"/>
          <w:lang w:val="en-US"/>
        </w:rPr>
        <w:t>principal</w:t>
      </w:r>
      <w:r w:rsidRPr="0035026F">
        <w:rPr>
          <w:rFonts w:ascii="Arial" w:hAnsi="Arial" w:cs="Arial"/>
          <w:sz w:val="24"/>
          <w:szCs w:val="28"/>
          <w:lang w:val="en-US"/>
        </w:rPr>
        <w:t xml:space="preserve"> of the loan in equal quarterly installments. All loan obligations </w:t>
      </w:r>
      <w:r>
        <w:rPr>
          <w:rFonts w:ascii="Arial" w:hAnsi="Arial" w:cs="Arial"/>
          <w:sz w:val="24"/>
          <w:szCs w:val="28"/>
          <w:lang w:val="en-US"/>
        </w:rPr>
        <w:t>are timely and fully executed</w:t>
      </w:r>
      <w:r w:rsidRPr="0035026F">
        <w:rPr>
          <w:rFonts w:ascii="Arial" w:hAnsi="Arial" w:cs="Arial"/>
          <w:sz w:val="24"/>
          <w:szCs w:val="28"/>
          <w:lang w:val="en-US"/>
        </w:rPr>
        <w:t>.</w:t>
      </w:r>
    </w:p>
    <w:p w:rsidR="00B414BA" w:rsidRPr="007E0B8F" w:rsidRDefault="00B414BA" w:rsidP="00271BFD">
      <w:pPr>
        <w:spacing w:line="360" w:lineRule="auto"/>
        <w:ind w:left="63"/>
        <w:jc w:val="both"/>
        <w:rPr>
          <w:rFonts w:ascii="Arial" w:hAnsi="Arial" w:cs="Arial"/>
          <w:sz w:val="24"/>
          <w:szCs w:val="28"/>
          <w:lang w:val="en-US"/>
        </w:rPr>
      </w:pPr>
    </w:p>
    <w:p w:rsidR="00115A90" w:rsidRPr="007E0B8F" w:rsidRDefault="00115A90">
      <w:pPr>
        <w:rPr>
          <w:rFonts w:ascii="Arial" w:hAnsi="Arial" w:cs="Arial"/>
          <w:sz w:val="24"/>
          <w:szCs w:val="28"/>
          <w:lang w:val="en-US"/>
        </w:rPr>
      </w:pPr>
    </w:p>
    <w:p w:rsidR="00115A90" w:rsidRPr="00096698" w:rsidRDefault="00096698" w:rsidP="00115A90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The</w:t>
      </w:r>
      <w:r w:rsidRPr="0009669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full version of </w:t>
      </w:r>
      <w:r w:rsidR="0035026F">
        <w:rPr>
          <w:rFonts w:ascii="Arial" w:hAnsi="Arial" w:cs="Arial"/>
          <w:b/>
          <w:bCs/>
          <w:sz w:val="20"/>
          <w:szCs w:val="20"/>
          <w:lang w:val="en-US"/>
        </w:rPr>
        <w:t>IFRS consolidated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financial </w:t>
      </w:r>
      <w:r w:rsidR="0035026F">
        <w:rPr>
          <w:rFonts w:ascii="Arial" w:hAnsi="Arial" w:cs="Arial"/>
          <w:b/>
          <w:bCs/>
          <w:sz w:val="20"/>
          <w:szCs w:val="20"/>
          <w:lang w:val="en-US"/>
        </w:rPr>
        <w:t>statements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is available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at</w:t>
      </w:r>
      <w:proofErr w:type="gramEnd"/>
      <w:r w:rsidR="00115A90" w:rsidRPr="00096698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:rsidR="00115A90" w:rsidRPr="00224ADE" w:rsidRDefault="00115A90" w:rsidP="00115A90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215A21">
        <w:rPr>
          <w:rStyle w:val="a4"/>
          <w:rFonts w:ascii="Arial" w:hAnsi="Arial" w:cs="Arial"/>
          <w:b/>
          <w:bCs/>
          <w:sz w:val="20"/>
          <w:szCs w:val="20"/>
          <w:lang w:val="en-US"/>
        </w:rPr>
        <w:t>http</w:t>
      </w:r>
      <w:r w:rsidRPr="00224ADE">
        <w:rPr>
          <w:rStyle w:val="a4"/>
          <w:rFonts w:ascii="Arial" w:hAnsi="Arial" w:cs="Arial"/>
          <w:b/>
          <w:bCs/>
          <w:sz w:val="20"/>
          <w:szCs w:val="20"/>
          <w:lang w:val="en-US"/>
        </w:rPr>
        <w:t>://</w:t>
      </w:r>
      <w:r w:rsidRPr="00215A21">
        <w:rPr>
          <w:rStyle w:val="a4"/>
          <w:rFonts w:ascii="Arial" w:hAnsi="Arial" w:cs="Arial"/>
          <w:b/>
          <w:bCs/>
          <w:sz w:val="20"/>
          <w:szCs w:val="20"/>
          <w:lang w:val="en-US"/>
        </w:rPr>
        <w:t>russneft</w:t>
      </w:r>
      <w:r w:rsidRPr="00224ADE">
        <w:rPr>
          <w:rStyle w:val="a4"/>
          <w:rFonts w:ascii="Arial" w:hAnsi="Arial" w:cs="Arial"/>
          <w:b/>
          <w:bCs/>
          <w:sz w:val="20"/>
          <w:szCs w:val="20"/>
          <w:lang w:val="en-US"/>
        </w:rPr>
        <w:t>.</w:t>
      </w:r>
      <w:r w:rsidRPr="00215A21">
        <w:rPr>
          <w:rStyle w:val="a4"/>
          <w:rFonts w:ascii="Arial" w:hAnsi="Arial" w:cs="Arial"/>
          <w:b/>
          <w:bCs/>
          <w:sz w:val="20"/>
          <w:szCs w:val="20"/>
          <w:lang w:val="en-US"/>
        </w:rPr>
        <w:t>ru</w:t>
      </w:r>
      <w:r w:rsidRPr="00224ADE">
        <w:rPr>
          <w:rStyle w:val="a4"/>
          <w:rFonts w:ascii="Arial" w:hAnsi="Arial" w:cs="Arial"/>
          <w:b/>
          <w:bCs/>
          <w:sz w:val="20"/>
          <w:szCs w:val="20"/>
          <w:lang w:val="en-US"/>
        </w:rPr>
        <w:t>/</w:t>
      </w:r>
      <w:r w:rsidRPr="00215A21">
        <w:rPr>
          <w:rStyle w:val="a4"/>
          <w:rFonts w:ascii="Arial" w:hAnsi="Arial" w:cs="Arial"/>
          <w:b/>
          <w:bCs/>
          <w:sz w:val="20"/>
          <w:szCs w:val="20"/>
          <w:lang w:val="en-US"/>
        </w:rPr>
        <w:t>shareholders</w:t>
      </w:r>
      <w:r w:rsidRPr="00224ADE">
        <w:rPr>
          <w:rStyle w:val="a4"/>
          <w:rFonts w:ascii="Arial" w:hAnsi="Arial" w:cs="Arial"/>
          <w:b/>
          <w:bCs/>
          <w:sz w:val="20"/>
          <w:szCs w:val="20"/>
          <w:lang w:val="en-US"/>
        </w:rPr>
        <w:t>/</w:t>
      </w:r>
      <w:r w:rsidRPr="00215A21">
        <w:rPr>
          <w:rStyle w:val="a4"/>
          <w:rFonts w:ascii="Arial" w:hAnsi="Arial" w:cs="Arial"/>
          <w:b/>
          <w:bCs/>
          <w:sz w:val="20"/>
          <w:szCs w:val="20"/>
          <w:lang w:val="en-US"/>
        </w:rPr>
        <w:t>financial</w:t>
      </w:r>
      <w:r w:rsidRPr="00224ADE">
        <w:rPr>
          <w:rStyle w:val="a4"/>
          <w:rFonts w:ascii="Arial" w:hAnsi="Arial" w:cs="Arial"/>
          <w:b/>
          <w:bCs/>
          <w:sz w:val="20"/>
          <w:szCs w:val="20"/>
          <w:lang w:val="en-US"/>
        </w:rPr>
        <w:t>_</w:t>
      </w:r>
      <w:r w:rsidRPr="00215A21">
        <w:rPr>
          <w:rStyle w:val="a4"/>
          <w:rFonts w:ascii="Arial" w:hAnsi="Arial" w:cs="Arial"/>
          <w:b/>
          <w:bCs/>
          <w:sz w:val="20"/>
          <w:szCs w:val="20"/>
          <w:lang w:val="en-US"/>
        </w:rPr>
        <w:t>statements</w:t>
      </w:r>
      <w:r w:rsidRPr="00224ADE">
        <w:rPr>
          <w:rStyle w:val="a4"/>
          <w:rFonts w:ascii="Arial" w:hAnsi="Arial" w:cs="Arial"/>
          <w:b/>
          <w:bCs/>
          <w:sz w:val="20"/>
          <w:szCs w:val="20"/>
          <w:lang w:val="en-US"/>
        </w:rPr>
        <w:t>/</w:t>
      </w:r>
      <w:r w:rsidRPr="00224AD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tbl>
      <w:tblPr>
        <w:tblStyle w:val="a3"/>
        <w:tblpPr w:leftFromText="180" w:rightFromText="180" w:vertAnchor="text" w:horzAnchor="margin" w:tblpY="5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115A90" w:rsidRPr="00392432" w:rsidTr="00115A90">
        <w:tc>
          <w:tcPr>
            <w:tcW w:w="5240" w:type="dxa"/>
          </w:tcPr>
          <w:p w:rsidR="00115A90" w:rsidRPr="00224ADE" w:rsidRDefault="000C22D3" w:rsidP="00115A90">
            <w:pPr>
              <w:spacing w:after="120" w:line="240" w:lineRule="atLeast"/>
              <w:ind w:right="-143"/>
              <w:rPr>
                <w:rFonts w:ascii="Arial" w:eastAsia="Times New Roman" w:hAnsi="Arial" w:cs="Arial"/>
                <w:b/>
                <w:bCs/>
                <w:i/>
                <w:szCs w:val="24"/>
                <w:lang w:val="en-US" w:eastAsia="ru-RU"/>
              </w:rPr>
            </w:pPr>
            <w:r w:rsidRPr="00224ADE">
              <w:rPr>
                <w:rFonts w:ascii="Arial" w:eastAsia="Times New Roman" w:hAnsi="Arial" w:cs="Arial"/>
                <w:b/>
                <w:bCs/>
                <w:i/>
                <w:szCs w:val="24"/>
                <w:lang w:val="en-US" w:eastAsia="ru-RU"/>
              </w:rPr>
              <w:t>Contacts for media</w:t>
            </w:r>
          </w:p>
          <w:p w:rsidR="00115A90" w:rsidRPr="00224ADE" w:rsidRDefault="00115A90" w:rsidP="00115A90">
            <w:pPr>
              <w:spacing w:after="120" w:line="240" w:lineRule="atLeast"/>
              <w:ind w:right="-143"/>
              <w:rPr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</w:pPr>
            <w:r w:rsidRPr="00224ADE">
              <w:rPr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+7 (495) 411</w:t>
            </w:r>
            <w:r w:rsidR="00522A85" w:rsidRPr="00224ADE">
              <w:rPr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-</w:t>
            </w:r>
            <w:r w:rsidRPr="00224ADE">
              <w:rPr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 xml:space="preserve"> 63</w:t>
            </w:r>
            <w:r w:rsidR="00522A85" w:rsidRPr="00224ADE">
              <w:rPr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-</w:t>
            </w:r>
            <w:r w:rsidRPr="00224ADE">
              <w:rPr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 xml:space="preserve"> 24  </w:t>
            </w:r>
          </w:p>
          <w:p w:rsidR="00115A90" w:rsidRPr="00224ADE" w:rsidRDefault="00115A90" w:rsidP="00115A90">
            <w:pPr>
              <w:spacing w:after="120" w:line="240" w:lineRule="atLeast"/>
              <w:ind w:right="-143"/>
              <w:rPr>
                <w:rFonts w:ascii="Arial" w:hAnsi="Arial" w:cs="Arial"/>
                <w:i/>
                <w:szCs w:val="28"/>
                <w:lang w:val="en-US"/>
              </w:rPr>
            </w:pPr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pr</w:t>
            </w:r>
            <w:r w:rsidRPr="00224ADE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@</w:t>
            </w:r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russneft</w:t>
            </w:r>
            <w:r w:rsidRPr="00224ADE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.</w:t>
            </w:r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ru</w:t>
            </w:r>
          </w:p>
        </w:tc>
        <w:tc>
          <w:tcPr>
            <w:tcW w:w="4105" w:type="dxa"/>
          </w:tcPr>
          <w:p w:rsidR="00115A90" w:rsidRPr="000C22D3" w:rsidRDefault="000C22D3" w:rsidP="00115A90">
            <w:pPr>
              <w:spacing w:after="120" w:line="240" w:lineRule="atLeast"/>
              <w:ind w:right="-143"/>
              <w:rPr>
                <w:rFonts w:ascii="Arial" w:eastAsia="Times New Roman" w:hAnsi="Arial" w:cs="Arial"/>
                <w:b/>
                <w:bCs/>
                <w:i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Cs w:val="24"/>
                <w:lang w:val="en-US" w:eastAsia="ru-RU"/>
              </w:rPr>
              <w:t>Contacts for investors</w:t>
            </w:r>
          </w:p>
          <w:p w:rsidR="00115A90" w:rsidRPr="00957902" w:rsidRDefault="00115A90" w:rsidP="00115A90">
            <w:pPr>
              <w:spacing w:after="120" w:line="240" w:lineRule="atLeast"/>
              <w:ind w:right="-143"/>
              <w:rPr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</w:pPr>
            <w:r w:rsidRPr="00957902">
              <w:rPr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 xml:space="preserve">+7 (495) 411-63-09  </w:t>
            </w:r>
          </w:p>
          <w:p w:rsidR="00115A90" w:rsidRPr="00957902" w:rsidRDefault="00115A90" w:rsidP="00115A90">
            <w:pPr>
              <w:spacing w:after="120" w:line="240" w:lineRule="atLeast"/>
              <w:ind w:right="-143"/>
              <w:rPr>
                <w:rFonts w:ascii="Arial" w:hAnsi="Arial" w:cs="Arial"/>
                <w:i/>
                <w:szCs w:val="28"/>
                <w:lang w:val="en-US"/>
              </w:rPr>
            </w:pPr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ir</w:t>
            </w:r>
            <w:r w:rsidRPr="00224ADE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@</w:t>
            </w:r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russneft</w:t>
            </w:r>
            <w:r w:rsidRPr="00224ADE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.</w:t>
            </w:r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ru</w:t>
            </w:r>
          </w:p>
        </w:tc>
      </w:tr>
    </w:tbl>
    <w:p w:rsidR="00115A90" w:rsidRPr="00957902" w:rsidRDefault="00115A90">
      <w:pPr>
        <w:rPr>
          <w:lang w:val="en-US"/>
        </w:rPr>
      </w:pPr>
    </w:p>
    <w:p w:rsidR="00D22353" w:rsidRPr="00224ADE" w:rsidRDefault="00D22353" w:rsidP="00D22353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8"/>
          <w:lang w:val="en-US"/>
        </w:rPr>
      </w:pPr>
      <w:r>
        <w:rPr>
          <w:rFonts w:ascii="Arial" w:hAnsi="Arial" w:cs="Arial"/>
          <w:b/>
          <w:i/>
          <w:sz w:val="20"/>
          <w:szCs w:val="28"/>
          <w:lang w:val="en-US"/>
        </w:rPr>
        <w:t>About the Company</w:t>
      </w:r>
      <w:r w:rsidRPr="00224ADE">
        <w:rPr>
          <w:rFonts w:ascii="Arial" w:hAnsi="Arial" w:cs="Arial"/>
          <w:b/>
          <w:i/>
          <w:sz w:val="20"/>
          <w:szCs w:val="28"/>
          <w:lang w:val="en-US"/>
        </w:rPr>
        <w:t>:</w:t>
      </w:r>
    </w:p>
    <w:p w:rsidR="00D22353" w:rsidRPr="00D22353" w:rsidRDefault="00D22353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  <w:r w:rsidRPr="000C22D3">
        <w:rPr>
          <w:rFonts w:ascii="Arial" w:hAnsi="Arial" w:cs="Arial"/>
          <w:i/>
          <w:sz w:val="20"/>
          <w:szCs w:val="28"/>
          <w:lang w:val="en-US"/>
        </w:rPr>
        <w:t>PJSC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“</w:t>
      </w:r>
      <w:proofErr w:type="spellStart"/>
      <w:r w:rsidRPr="000C22D3">
        <w:rPr>
          <w:rFonts w:ascii="Arial" w:hAnsi="Arial" w:cs="Arial"/>
          <w:i/>
          <w:sz w:val="20"/>
          <w:szCs w:val="28"/>
          <w:lang w:val="en-US"/>
        </w:rPr>
        <w:t>RussNeft</w:t>
      </w:r>
      <w:proofErr w:type="spellEnd"/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” </w:t>
      </w:r>
      <w:r w:rsidRPr="000C22D3">
        <w:rPr>
          <w:rFonts w:ascii="Arial" w:hAnsi="Arial" w:cs="Arial"/>
          <w:i/>
          <w:sz w:val="20"/>
          <w:szCs w:val="28"/>
          <w:lang w:val="en-US"/>
        </w:rPr>
        <w:t>ranks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</w:t>
      </w:r>
      <w:r w:rsidRPr="000C22D3">
        <w:rPr>
          <w:rFonts w:ascii="Arial" w:hAnsi="Arial" w:cs="Arial"/>
          <w:i/>
          <w:sz w:val="20"/>
          <w:szCs w:val="28"/>
          <w:lang w:val="en-US"/>
        </w:rPr>
        <w:t>among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</w:t>
      </w:r>
      <w:r w:rsidRPr="000C22D3">
        <w:rPr>
          <w:rFonts w:ascii="Arial" w:hAnsi="Arial" w:cs="Arial"/>
          <w:i/>
          <w:sz w:val="20"/>
          <w:szCs w:val="28"/>
          <w:lang w:val="en-US"/>
        </w:rPr>
        <w:t>the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</w:t>
      </w:r>
      <w:r w:rsidRPr="000C22D3">
        <w:rPr>
          <w:rFonts w:ascii="Arial" w:hAnsi="Arial" w:cs="Arial"/>
          <w:i/>
          <w:sz w:val="20"/>
          <w:szCs w:val="28"/>
          <w:lang w:val="en-US"/>
        </w:rPr>
        <w:t>largest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</w:t>
      </w:r>
      <w:r w:rsidRPr="000C22D3">
        <w:rPr>
          <w:rFonts w:ascii="Arial" w:hAnsi="Arial" w:cs="Arial"/>
          <w:i/>
          <w:sz w:val="20"/>
          <w:szCs w:val="28"/>
          <w:lang w:val="en-US"/>
        </w:rPr>
        <w:t>oil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</w:t>
      </w:r>
      <w:r w:rsidRPr="000C22D3">
        <w:rPr>
          <w:rFonts w:ascii="Arial" w:hAnsi="Arial" w:cs="Arial"/>
          <w:i/>
          <w:sz w:val="20"/>
          <w:szCs w:val="28"/>
          <w:lang w:val="en-US"/>
        </w:rPr>
        <w:t>companies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</w:t>
      </w:r>
      <w:r w:rsidRPr="000C22D3">
        <w:rPr>
          <w:rFonts w:ascii="Arial" w:hAnsi="Arial" w:cs="Arial"/>
          <w:i/>
          <w:sz w:val="20"/>
          <w:szCs w:val="28"/>
          <w:lang w:val="en-US"/>
        </w:rPr>
        <w:t>by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</w:t>
      </w:r>
      <w:r w:rsidRPr="000C22D3">
        <w:rPr>
          <w:rFonts w:ascii="Arial" w:hAnsi="Arial" w:cs="Arial"/>
          <w:i/>
          <w:sz w:val="20"/>
          <w:szCs w:val="28"/>
          <w:lang w:val="en-US"/>
        </w:rPr>
        <w:t>crude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</w:t>
      </w:r>
      <w:r w:rsidRPr="000C22D3">
        <w:rPr>
          <w:rFonts w:ascii="Arial" w:hAnsi="Arial" w:cs="Arial"/>
          <w:i/>
          <w:sz w:val="20"/>
          <w:szCs w:val="28"/>
          <w:lang w:val="en-US"/>
        </w:rPr>
        <w:t>oil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</w:t>
      </w:r>
      <w:r w:rsidRPr="000C22D3">
        <w:rPr>
          <w:rFonts w:ascii="Arial" w:hAnsi="Arial" w:cs="Arial"/>
          <w:i/>
          <w:sz w:val="20"/>
          <w:szCs w:val="28"/>
          <w:lang w:val="en-US"/>
        </w:rPr>
        <w:t>production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</w:t>
      </w:r>
      <w:r w:rsidRPr="000C22D3">
        <w:rPr>
          <w:rFonts w:ascii="Arial" w:hAnsi="Arial" w:cs="Arial"/>
          <w:i/>
          <w:sz w:val="20"/>
          <w:szCs w:val="28"/>
          <w:lang w:val="en-US"/>
        </w:rPr>
        <w:t>in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</w:t>
      </w:r>
      <w:r w:rsidRPr="000C22D3">
        <w:rPr>
          <w:rFonts w:ascii="Arial" w:hAnsi="Arial" w:cs="Arial"/>
          <w:i/>
          <w:sz w:val="20"/>
          <w:szCs w:val="28"/>
          <w:lang w:val="en-US"/>
        </w:rPr>
        <w:t>Russia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. </w:t>
      </w:r>
    </w:p>
    <w:p w:rsidR="00D22353" w:rsidRPr="00D22353" w:rsidRDefault="00D22353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  <w:r w:rsidRPr="000C22D3">
        <w:rPr>
          <w:rFonts w:ascii="Arial" w:hAnsi="Arial" w:cs="Arial"/>
          <w:i/>
          <w:sz w:val="20"/>
          <w:szCs w:val="28"/>
          <w:lang w:val="en-US"/>
        </w:rPr>
        <w:t>The Company possesses a well-balanced portfolio of assets located in the key Russian oil and gas provinces (West Siberia, Volga-Urals and Central Siberia) as well as in Azerbaijan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. </w:t>
      </w:r>
    </w:p>
    <w:p w:rsidR="00D22353" w:rsidRPr="00D22353" w:rsidRDefault="00D22353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  <w:r w:rsidRPr="000C22D3">
        <w:rPr>
          <w:rFonts w:ascii="Arial" w:hAnsi="Arial" w:cs="Arial"/>
          <w:i/>
          <w:sz w:val="20"/>
          <w:szCs w:val="28"/>
          <w:lang w:val="en-US"/>
        </w:rPr>
        <w:t xml:space="preserve">2P reserves of the Company exceed 200 million tons (SPE). The number of the Company’s personnel </w:t>
      </w:r>
      <w:r>
        <w:rPr>
          <w:rFonts w:ascii="Arial" w:hAnsi="Arial" w:cs="Arial"/>
          <w:i/>
          <w:sz w:val="20"/>
          <w:szCs w:val="28"/>
          <w:lang w:val="en-US"/>
        </w:rPr>
        <w:t xml:space="preserve">exceeds </w:t>
      </w:r>
      <w:r w:rsidR="00D52850">
        <w:rPr>
          <w:rFonts w:ascii="Arial" w:hAnsi="Arial" w:cs="Arial"/>
          <w:i/>
          <w:sz w:val="20"/>
          <w:szCs w:val="28"/>
          <w:lang w:val="en-US"/>
        </w:rPr>
        <w:t>8</w:t>
      </w:r>
      <w:r w:rsidRPr="000C22D3">
        <w:rPr>
          <w:rFonts w:ascii="Arial" w:hAnsi="Arial" w:cs="Arial"/>
          <w:i/>
          <w:sz w:val="20"/>
          <w:szCs w:val="28"/>
          <w:lang w:val="en-US"/>
        </w:rPr>
        <w:t>,000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. </w:t>
      </w:r>
    </w:p>
    <w:p w:rsidR="00D22353" w:rsidRDefault="00D22353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  <w:r>
        <w:rPr>
          <w:rFonts w:ascii="Arial" w:hAnsi="Arial" w:cs="Arial"/>
          <w:i/>
          <w:sz w:val="20"/>
          <w:szCs w:val="28"/>
          <w:lang w:val="en-US"/>
        </w:rPr>
        <w:t xml:space="preserve">The authorized capital of the Company contains 294,120,000 of ordinary shares and </w:t>
      </w:r>
      <w:r w:rsidRPr="000C22D3">
        <w:rPr>
          <w:rFonts w:ascii="Arial" w:hAnsi="Arial" w:cs="Arial"/>
          <w:i/>
          <w:sz w:val="20"/>
          <w:szCs w:val="28"/>
          <w:lang w:val="en-US"/>
        </w:rPr>
        <w:t>98,032,000 of the privileged shares herewith 20% of the voting shares are traded at the Moscow Exchange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(MOEX</w:t>
      </w:r>
      <w:proofErr w:type="gramStart"/>
      <w:r w:rsidRPr="00D22353">
        <w:rPr>
          <w:rFonts w:ascii="Arial" w:hAnsi="Arial" w:cs="Arial"/>
          <w:i/>
          <w:sz w:val="20"/>
          <w:szCs w:val="28"/>
          <w:lang w:val="en-US"/>
        </w:rPr>
        <w:t>:RNF</w:t>
      </w:r>
      <w:r w:rsidRPr="00D76A21">
        <w:rPr>
          <w:rFonts w:ascii="Arial" w:hAnsi="Arial" w:cs="Arial"/>
          <w:i/>
          <w:sz w:val="20"/>
          <w:szCs w:val="28"/>
        </w:rPr>
        <w:t>Т</w:t>
      </w:r>
      <w:proofErr w:type="gramEnd"/>
      <w:r w:rsidRPr="00D22353">
        <w:rPr>
          <w:rFonts w:ascii="Arial" w:hAnsi="Arial" w:cs="Arial"/>
          <w:i/>
          <w:sz w:val="20"/>
          <w:szCs w:val="28"/>
          <w:lang w:val="en-US"/>
        </w:rPr>
        <w:t>).</w:t>
      </w: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  <w:r>
        <w:rPr>
          <w:rFonts w:ascii="Arial" w:hAnsi="Arial" w:cs="Arial"/>
          <w:i/>
          <w:sz w:val="20"/>
          <w:szCs w:val="28"/>
          <w:lang w:val="en-US"/>
        </w:rPr>
        <w:t>_____________________________________</w:t>
      </w:r>
    </w:p>
    <w:p w:rsidR="00CD3945" w:rsidRPr="00CD3945" w:rsidRDefault="00D52850" w:rsidP="00D22353">
      <w:pPr>
        <w:spacing w:before="120" w:after="12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5</w:t>
      </w:r>
      <w:r w:rsidR="00CD3945" w:rsidRPr="00CD3945">
        <w:rPr>
          <w:rFonts w:ascii="Arial" w:hAnsi="Arial" w:cs="Arial"/>
          <w:sz w:val="18"/>
          <w:szCs w:val="18"/>
          <w:lang w:val="en-US"/>
        </w:rPr>
        <w:t xml:space="preserve">. Reserves under international projects are not incl. </w:t>
      </w:r>
    </w:p>
    <w:sectPr w:rsidR="00CD3945" w:rsidRPr="00CD394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7C" w:rsidRDefault="002A037C" w:rsidP="00DE1826">
      <w:pPr>
        <w:spacing w:after="0" w:line="240" w:lineRule="auto"/>
      </w:pPr>
      <w:r>
        <w:separator/>
      </w:r>
    </w:p>
  </w:endnote>
  <w:endnote w:type="continuationSeparator" w:id="0">
    <w:p w:rsidR="002A037C" w:rsidRDefault="002A037C" w:rsidP="00DE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-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7C" w:rsidRDefault="002A037C" w:rsidP="00DE1826">
      <w:pPr>
        <w:spacing w:after="0" w:line="240" w:lineRule="auto"/>
      </w:pPr>
      <w:r>
        <w:separator/>
      </w:r>
    </w:p>
  </w:footnote>
  <w:footnote w:type="continuationSeparator" w:id="0">
    <w:p w:rsidR="002A037C" w:rsidRDefault="002A037C" w:rsidP="00DE1826">
      <w:pPr>
        <w:spacing w:after="0" w:line="240" w:lineRule="auto"/>
      </w:pPr>
      <w:r>
        <w:continuationSeparator/>
      </w:r>
    </w:p>
  </w:footnote>
  <w:footnote w:id="1">
    <w:p w:rsidR="00FF68CB" w:rsidRPr="00677560" w:rsidRDefault="00FF68CB">
      <w:pPr>
        <w:pStyle w:val="a5"/>
        <w:rPr>
          <w:lang w:val="en-US"/>
        </w:rPr>
      </w:pPr>
      <w:r>
        <w:rPr>
          <w:rStyle w:val="a7"/>
        </w:rPr>
        <w:footnoteRef/>
      </w:r>
      <w:r w:rsidRPr="00677560">
        <w:rPr>
          <w:lang w:val="en-US"/>
        </w:rPr>
        <w:t xml:space="preserve">  </w:t>
      </w:r>
      <w:r w:rsidR="00677560">
        <w:rPr>
          <w:lang w:val="en-US"/>
        </w:rPr>
        <w:t xml:space="preserve">Including </w:t>
      </w:r>
      <w:r w:rsidR="00DA5247">
        <w:rPr>
          <w:lang w:val="en-US"/>
        </w:rPr>
        <w:t>p</w:t>
      </w:r>
      <w:r w:rsidR="00677560">
        <w:rPr>
          <w:lang w:val="en-US"/>
        </w:rPr>
        <w:t xml:space="preserve">roduction </w:t>
      </w:r>
      <w:r w:rsidR="00DA5247">
        <w:rPr>
          <w:lang w:val="en-US"/>
        </w:rPr>
        <w:t xml:space="preserve">from </w:t>
      </w:r>
      <w:r w:rsidR="00677560">
        <w:rPr>
          <w:lang w:val="en-US"/>
        </w:rPr>
        <w:t>international projects</w:t>
      </w:r>
    </w:p>
  </w:footnote>
  <w:footnote w:id="2">
    <w:p w:rsidR="00392432" w:rsidRPr="00392432" w:rsidRDefault="00392432">
      <w:pPr>
        <w:pStyle w:val="a5"/>
        <w:rPr>
          <w:lang w:val="en-US"/>
        </w:rPr>
      </w:pPr>
      <w:r>
        <w:rPr>
          <w:rStyle w:val="a7"/>
        </w:rPr>
        <w:footnoteRef/>
      </w:r>
      <w:r w:rsidRPr="00392432">
        <w:rPr>
          <w:lang w:val="en-US"/>
        </w:rPr>
        <w:t xml:space="preserve"> </w:t>
      </w:r>
      <w:r>
        <w:rPr>
          <w:lang w:val="en-US"/>
        </w:rPr>
        <w:t xml:space="preserve">Acc.to </w:t>
      </w:r>
      <w:r w:rsidR="00266D8E">
        <w:rPr>
          <w:lang w:val="en-US"/>
        </w:rPr>
        <w:t xml:space="preserve">data of </w:t>
      </w:r>
      <w:r>
        <w:rPr>
          <w:lang w:val="en-US"/>
        </w:rPr>
        <w:t xml:space="preserve">managing accounts </w:t>
      </w:r>
    </w:p>
  </w:footnote>
  <w:footnote w:id="3">
    <w:p w:rsidR="00392432" w:rsidRPr="007B156B" w:rsidRDefault="00392432" w:rsidP="00392432">
      <w:pPr>
        <w:pStyle w:val="a5"/>
        <w:rPr>
          <w:lang w:val="en-US"/>
        </w:rPr>
      </w:pPr>
      <w:r>
        <w:rPr>
          <w:rStyle w:val="a7"/>
        </w:rPr>
        <w:footnoteRef/>
      </w:r>
      <w:r w:rsidRPr="007B156B">
        <w:rPr>
          <w:lang w:val="en-US"/>
        </w:rPr>
        <w:t xml:space="preserve"> </w:t>
      </w:r>
      <w:r>
        <w:rPr>
          <w:lang w:val="en-US"/>
        </w:rPr>
        <w:t>Excluding</w:t>
      </w:r>
      <w:r w:rsidRPr="007B156B">
        <w:rPr>
          <w:lang w:val="en-US"/>
        </w:rPr>
        <w:t xml:space="preserve">  </w:t>
      </w:r>
      <w:r>
        <w:rPr>
          <w:lang w:val="en-US"/>
        </w:rPr>
        <w:t>FX</w:t>
      </w:r>
      <w:r w:rsidRPr="007B156B">
        <w:rPr>
          <w:lang w:val="en-US"/>
        </w:rPr>
        <w:t xml:space="preserve"> </w:t>
      </w:r>
      <w:r>
        <w:rPr>
          <w:lang w:val="en-US"/>
        </w:rPr>
        <w:t>differences</w:t>
      </w:r>
      <w:r w:rsidRPr="007B156B">
        <w:rPr>
          <w:lang w:val="en-US"/>
        </w:rPr>
        <w:t xml:space="preserve"> </w:t>
      </w:r>
      <w:r>
        <w:rPr>
          <w:lang w:val="en-US"/>
        </w:rPr>
        <w:t>and</w:t>
      </w:r>
      <w:r w:rsidRPr="007B156B">
        <w:rPr>
          <w:lang w:val="en-US"/>
        </w:rPr>
        <w:t xml:space="preserve"> </w:t>
      </w:r>
      <w:r w:rsidRPr="00DA5247">
        <w:rPr>
          <w:lang w:val="en-US"/>
        </w:rPr>
        <w:t xml:space="preserve">revaluation of </w:t>
      </w:r>
      <w:r>
        <w:rPr>
          <w:lang w:val="en-US"/>
        </w:rPr>
        <w:t>financial instruments’ fair</w:t>
      </w:r>
      <w:r w:rsidRPr="007B156B">
        <w:rPr>
          <w:lang w:val="en-US"/>
        </w:rPr>
        <w:t xml:space="preserve"> </w:t>
      </w:r>
      <w:r>
        <w:rPr>
          <w:lang w:val="en-US"/>
        </w:rPr>
        <w:t>value</w:t>
      </w:r>
    </w:p>
  </w:footnote>
  <w:footnote w:id="4">
    <w:p w:rsidR="0086687E" w:rsidRPr="00DA5247" w:rsidRDefault="0086687E">
      <w:pPr>
        <w:pStyle w:val="a5"/>
        <w:rPr>
          <w:lang w:val="en-US"/>
        </w:rPr>
      </w:pPr>
      <w:r>
        <w:rPr>
          <w:rStyle w:val="a7"/>
        </w:rPr>
        <w:footnoteRef/>
      </w:r>
      <w:r w:rsidR="00DA5247">
        <w:rPr>
          <w:lang w:val="en-US"/>
        </w:rPr>
        <w:t>A</w:t>
      </w:r>
      <w:r w:rsidR="000C22D3">
        <w:rPr>
          <w:lang w:val="en-US"/>
        </w:rPr>
        <w:t>cc</w:t>
      </w:r>
      <w:r w:rsidR="000C22D3" w:rsidRPr="00DA5247">
        <w:rPr>
          <w:lang w:val="en-US"/>
        </w:rPr>
        <w:t>.</w:t>
      </w:r>
      <w:r w:rsidR="00DA5247" w:rsidRPr="00DA5247">
        <w:rPr>
          <w:lang w:val="en-US"/>
        </w:rPr>
        <w:t xml:space="preserve"> </w:t>
      </w:r>
      <w:r w:rsidR="00DA5247">
        <w:rPr>
          <w:lang w:val="en-US"/>
        </w:rPr>
        <w:t xml:space="preserve">to </w:t>
      </w:r>
      <w:r w:rsidR="000C22D3">
        <w:rPr>
          <w:lang w:val="en-US"/>
        </w:rPr>
        <w:t>the</w:t>
      </w:r>
      <w:r w:rsidR="005A7326" w:rsidRPr="00DA5247">
        <w:rPr>
          <w:lang w:val="en-US"/>
        </w:rPr>
        <w:t xml:space="preserve"> </w:t>
      </w:r>
      <w:r w:rsidR="005A7326">
        <w:rPr>
          <w:lang w:val="en-US"/>
        </w:rPr>
        <w:t>management</w:t>
      </w:r>
      <w:r w:rsidR="005A7326" w:rsidRPr="00DA5247">
        <w:rPr>
          <w:lang w:val="en-US"/>
        </w:rPr>
        <w:t xml:space="preserve"> </w:t>
      </w:r>
      <w:r w:rsidR="005A7326">
        <w:rPr>
          <w:lang w:val="en-US"/>
        </w:rPr>
        <w:t>accounting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CB" w:rsidRPr="00B423AF" w:rsidRDefault="00FF68CB" w:rsidP="00B423AF">
    <w:pPr>
      <w:pStyle w:val="a9"/>
      <w:tabs>
        <w:tab w:val="left" w:pos="9355"/>
      </w:tabs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D6E"/>
    <w:multiLevelType w:val="hybridMultilevel"/>
    <w:tmpl w:val="3C588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0C96"/>
    <w:multiLevelType w:val="hybridMultilevel"/>
    <w:tmpl w:val="050C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6871"/>
    <w:multiLevelType w:val="hybridMultilevel"/>
    <w:tmpl w:val="1A12A738"/>
    <w:lvl w:ilvl="0" w:tplc="7922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63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E6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62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C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C6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4C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47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6B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2C02DA"/>
    <w:multiLevelType w:val="hybridMultilevel"/>
    <w:tmpl w:val="2786CB6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52C47C31"/>
    <w:multiLevelType w:val="hybridMultilevel"/>
    <w:tmpl w:val="6FD6F466"/>
    <w:lvl w:ilvl="0" w:tplc="726622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EBA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EF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AE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061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83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43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A9D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6D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23BC0"/>
    <w:multiLevelType w:val="hybridMultilevel"/>
    <w:tmpl w:val="CA7C9CC2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5D57291D"/>
    <w:multiLevelType w:val="hybridMultilevel"/>
    <w:tmpl w:val="E39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44991"/>
    <w:multiLevelType w:val="hybridMultilevel"/>
    <w:tmpl w:val="EF40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87FD0"/>
    <w:multiLevelType w:val="hybridMultilevel"/>
    <w:tmpl w:val="5B4E163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6A2D0C91"/>
    <w:multiLevelType w:val="hybridMultilevel"/>
    <w:tmpl w:val="B068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27E50"/>
    <w:multiLevelType w:val="hybridMultilevel"/>
    <w:tmpl w:val="EF3C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10B5E"/>
    <w:multiLevelType w:val="hybridMultilevel"/>
    <w:tmpl w:val="7FF6A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FA"/>
    <w:rsid w:val="00000EB3"/>
    <w:rsid w:val="00003A20"/>
    <w:rsid w:val="00033EDA"/>
    <w:rsid w:val="000360E3"/>
    <w:rsid w:val="000377C5"/>
    <w:rsid w:val="00051D07"/>
    <w:rsid w:val="00051F11"/>
    <w:rsid w:val="0007621A"/>
    <w:rsid w:val="00077A6F"/>
    <w:rsid w:val="00082BFA"/>
    <w:rsid w:val="00093A13"/>
    <w:rsid w:val="00093D7F"/>
    <w:rsid w:val="00096698"/>
    <w:rsid w:val="000A222A"/>
    <w:rsid w:val="000C22D3"/>
    <w:rsid w:val="000E12E3"/>
    <w:rsid w:val="000E2F0F"/>
    <w:rsid w:val="000E40F4"/>
    <w:rsid w:val="000E6196"/>
    <w:rsid w:val="000F1FA2"/>
    <w:rsid w:val="00102E0E"/>
    <w:rsid w:val="00113572"/>
    <w:rsid w:val="00115A90"/>
    <w:rsid w:val="00117255"/>
    <w:rsid w:val="00130AC7"/>
    <w:rsid w:val="001378E3"/>
    <w:rsid w:val="001401A5"/>
    <w:rsid w:val="00146FD1"/>
    <w:rsid w:val="00151C6A"/>
    <w:rsid w:val="001532E2"/>
    <w:rsid w:val="001541F6"/>
    <w:rsid w:val="00155D5B"/>
    <w:rsid w:val="00157349"/>
    <w:rsid w:val="00157FA6"/>
    <w:rsid w:val="0016591B"/>
    <w:rsid w:val="00166B64"/>
    <w:rsid w:val="001740C9"/>
    <w:rsid w:val="0017555D"/>
    <w:rsid w:val="00184054"/>
    <w:rsid w:val="001A7D39"/>
    <w:rsid w:val="001C03A8"/>
    <w:rsid w:val="001D1034"/>
    <w:rsid w:val="001D651D"/>
    <w:rsid w:val="001E251F"/>
    <w:rsid w:val="001F3B6D"/>
    <w:rsid w:val="002013E8"/>
    <w:rsid w:val="00202185"/>
    <w:rsid w:val="00215A21"/>
    <w:rsid w:val="00220290"/>
    <w:rsid w:val="00222510"/>
    <w:rsid w:val="00224ADE"/>
    <w:rsid w:val="00240616"/>
    <w:rsid w:val="00260E3B"/>
    <w:rsid w:val="00266D8E"/>
    <w:rsid w:val="002672BE"/>
    <w:rsid w:val="0027154B"/>
    <w:rsid w:val="00271BFD"/>
    <w:rsid w:val="002916D1"/>
    <w:rsid w:val="002948F9"/>
    <w:rsid w:val="002A037C"/>
    <w:rsid w:val="002A7E67"/>
    <w:rsid w:val="002C1E3A"/>
    <w:rsid w:val="002C6017"/>
    <w:rsid w:val="002E0058"/>
    <w:rsid w:val="002E167A"/>
    <w:rsid w:val="002F10FB"/>
    <w:rsid w:val="002F2E46"/>
    <w:rsid w:val="002F5E7D"/>
    <w:rsid w:val="00306698"/>
    <w:rsid w:val="00316276"/>
    <w:rsid w:val="0033310B"/>
    <w:rsid w:val="0034120B"/>
    <w:rsid w:val="00344929"/>
    <w:rsid w:val="00346E91"/>
    <w:rsid w:val="0035026F"/>
    <w:rsid w:val="00351CA1"/>
    <w:rsid w:val="00364E5F"/>
    <w:rsid w:val="003674CD"/>
    <w:rsid w:val="003821CC"/>
    <w:rsid w:val="00386F73"/>
    <w:rsid w:val="00392432"/>
    <w:rsid w:val="003A4603"/>
    <w:rsid w:val="003A47CA"/>
    <w:rsid w:val="003A507D"/>
    <w:rsid w:val="003A7C3D"/>
    <w:rsid w:val="003B3F8B"/>
    <w:rsid w:val="003B4470"/>
    <w:rsid w:val="003B6193"/>
    <w:rsid w:val="003B63DF"/>
    <w:rsid w:val="003B72BC"/>
    <w:rsid w:val="003B76F1"/>
    <w:rsid w:val="003C07E1"/>
    <w:rsid w:val="003C3610"/>
    <w:rsid w:val="003D0D0D"/>
    <w:rsid w:val="003D508C"/>
    <w:rsid w:val="003D772F"/>
    <w:rsid w:val="003E00E3"/>
    <w:rsid w:val="003E34F7"/>
    <w:rsid w:val="003E563D"/>
    <w:rsid w:val="004076A8"/>
    <w:rsid w:val="00422AE4"/>
    <w:rsid w:val="004269C3"/>
    <w:rsid w:val="004408C5"/>
    <w:rsid w:val="004465C6"/>
    <w:rsid w:val="00451B57"/>
    <w:rsid w:val="004661CE"/>
    <w:rsid w:val="004844C1"/>
    <w:rsid w:val="00490A98"/>
    <w:rsid w:val="004B423C"/>
    <w:rsid w:val="004C10A7"/>
    <w:rsid w:val="004C6C80"/>
    <w:rsid w:val="004D5735"/>
    <w:rsid w:val="004E297A"/>
    <w:rsid w:val="004E2A67"/>
    <w:rsid w:val="004F47F2"/>
    <w:rsid w:val="004F7E03"/>
    <w:rsid w:val="005034E7"/>
    <w:rsid w:val="00514DE0"/>
    <w:rsid w:val="00522A85"/>
    <w:rsid w:val="00525326"/>
    <w:rsid w:val="00530FE4"/>
    <w:rsid w:val="0054532C"/>
    <w:rsid w:val="00550C98"/>
    <w:rsid w:val="0057759B"/>
    <w:rsid w:val="00585C4C"/>
    <w:rsid w:val="00591571"/>
    <w:rsid w:val="0059570A"/>
    <w:rsid w:val="005A2E61"/>
    <w:rsid w:val="005A5C8D"/>
    <w:rsid w:val="005A7326"/>
    <w:rsid w:val="005B2775"/>
    <w:rsid w:val="005D1D36"/>
    <w:rsid w:val="005D4ADF"/>
    <w:rsid w:val="005D4C97"/>
    <w:rsid w:val="005E480B"/>
    <w:rsid w:val="00605D20"/>
    <w:rsid w:val="00607829"/>
    <w:rsid w:val="00610FEF"/>
    <w:rsid w:val="00634114"/>
    <w:rsid w:val="0063425F"/>
    <w:rsid w:val="00635A02"/>
    <w:rsid w:val="00637BF0"/>
    <w:rsid w:val="00643323"/>
    <w:rsid w:val="006439DA"/>
    <w:rsid w:val="006442C1"/>
    <w:rsid w:val="006520EA"/>
    <w:rsid w:val="0065532E"/>
    <w:rsid w:val="006614EE"/>
    <w:rsid w:val="00662008"/>
    <w:rsid w:val="00665FB6"/>
    <w:rsid w:val="00675FF3"/>
    <w:rsid w:val="00677560"/>
    <w:rsid w:val="006877AD"/>
    <w:rsid w:val="006A1102"/>
    <w:rsid w:val="006A368E"/>
    <w:rsid w:val="006A690A"/>
    <w:rsid w:val="006B70E0"/>
    <w:rsid w:val="006C1C7F"/>
    <w:rsid w:val="006D0DDD"/>
    <w:rsid w:val="006E23A6"/>
    <w:rsid w:val="006E36E3"/>
    <w:rsid w:val="006F6F27"/>
    <w:rsid w:val="00702783"/>
    <w:rsid w:val="00715E2B"/>
    <w:rsid w:val="007263B0"/>
    <w:rsid w:val="00734AD1"/>
    <w:rsid w:val="00735100"/>
    <w:rsid w:val="007453AF"/>
    <w:rsid w:val="00746898"/>
    <w:rsid w:val="0075024F"/>
    <w:rsid w:val="007550F9"/>
    <w:rsid w:val="0075545D"/>
    <w:rsid w:val="00775050"/>
    <w:rsid w:val="00783E8E"/>
    <w:rsid w:val="00796512"/>
    <w:rsid w:val="007A2040"/>
    <w:rsid w:val="007A4BFE"/>
    <w:rsid w:val="007B156B"/>
    <w:rsid w:val="007B4082"/>
    <w:rsid w:val="007B69EF"/>
    <w:rsid w:val="007B6D99"/>
    <w:rsid w:val="007C0192"/>
    <w:rsid w:val="007C6F1A"/>
    <w:rsid w:val="007E0B8F"/>
    <w:rsid w:val="007E1F18"/>
    <w:rsid w:val="007E6393"/>
    <w:rsid w:val="007F1210"/>
    <w:rsid w:val="007F50B1"/>
    <w:rsid w:val="00801C3B"/>
    <w:rsid w:val="00802323"/>
    <w:rsid w:val="00813E93"/>
    <w:rsid w:val="00826404"/>
    <w:rsid w:val="00841E67"/>
    <w:rsid w:val="00843D92"/>
    <w:rsid w:val="00854CC3"/>
    <w:rsid w:val="008634BD"/>
    <w:rsid w:val="0086687E"/>
    <w:rsid w:val="00866B57"/>
    <w:rsid w:val="008679B6"/>
    <w:rsid w:val="00881FC0"/>
    <w:rsid w:val="0088236F"/>
    <w:rsid w:val="008851EE"/>
    <w:rsid w:val="00887FA6"/>
    <w:rsid w:val="0089724C"/>
    <w:rsid w:val="008B3732"/>
    <w:rsid w:val="008B3D51"/>
    <w:rsid w:val="008D3F4F"/>
    <w:rsid w:val="008D762A"/>
    <w:rsid w:val="008E28D1"/>
    <w:rsid w:val="008E3512"/>
    <w:rsid w:val="008E3780"/>
    <w:rsid w:val="008E5148"/>
    <w:rsid w:val="009015F6"/>
    <w:rsid w:val="00902AC0"/>
    <w:rsid w:val="00907AF5"/>
    <w:rsid w:val="009104DD"/>
    <w:rsid w:val="009348A5"/>
    <w:rsid w:val="00941A06"/>
    <w:rsid w:val="00942498"/>
    <w:rsid w:val="00957902"/>
    <w:rsid w:val="009725AF"/>
    <w:rsid w:val="009745F8"/>
    <w:rsid w:val="0097622D"/>
    <w:rsid w:val="00985345"/>
    <w:rsid w:val="00985C85"/>
    <w:rsid w:val="009B47AA"/>
    <w:rsid w:val="009B6B8C"/>
    <w:rsid w:val="009C41E8"/>
    <w:rsid w:val="009C534C"/>
    <w:rsid w:val="009E2DF3"/>
    <w:rsid w:val="009E32E7"/>
    <w:rsid w:val="009F546C"/>
    <w:rsid w:val="00A11B8A"/>
    <w:rsid w:val="00A134E4"/>
    <w:rsid w:val="00A21C33"/>
    <w:rsid w:val="00A231F8"/>
    <w:rsid w:val="00A249DC"/>
    <w:rsid w:val="00A3066D"/>
    <w:rsid w:val="00A35293"/>
    <w:rsid w:val="00A355A7"/>
    <w:rsid w:val="00A37437"/>
    <w:rsid w:val="00A5191F"/>
    <w:rsid w:val="00A7418E"/>
    <w:rsid w:val="00A82DA5"/>
    <w:rsid w:val="00A85C90"/>
    <w:rsid w:val="00A93749"/>
    <w:rsid w:val="00A97712"/>
    <w:rsid w:val="00AA2EF5"/>
    <w:rsid w:val="00AB15F8"/>
    <w:rsid w:val="00AD62F9"/>
    <w:rsid w:val="00AE1E3D"/>
    <w:rsid w:val="00AE65FA"/>
    <w:rsid w:val="00AF2FDF"/>
    <w:rsid w:val="00AF3315"/>
    <w:rsid w:val="00AF5BEB"/>
    <w:rsid w:val="00B01B35"/>
    <w:rsid w:val="00B07CAD"/>
    <w:rsid w:val="00B32F68"/>
    <w:rsid w:val="00B341DE"/>
    <w:rsid w:val="00B35259"/>
    <w:rsid w:val="00B414BA"/>
    <w:rsid w:val="00B423AF"/>
    <w:rsid w:val="00B45693"/>
    <w:rsid w:val="00B55AA0"/>
    <w:rsid w:val="00B653FE"/>
    <w:rsid w:val="00B75739"/>
    <w:rsid w:val="00B76534"/>
    <w:rsid w:val="00B82193"/>
    <w:rsid w:val="00BA3BC4"/>
    <w:rsid w:val="00BB17D0"/>
    <w:rsid w:val="00BB39BE"/>
    <w:rsid w:val="00BD188B"/>
    <w:rsid w:val="00BE242E"/>
    <w:rsid w:val="00C03A78"/>
    <w:rsid w:val="00C06B5D"/>
    <w:rsid w:val="00C1050C"/>
    <w:rsid w:val="00C25F86"/>
    <w:rsid w:val="00C3684C"/>
    <w:rsid w:val="00C56529"/>
    <w:rsid w:val="00C617A2"/>
    <w:rsid w:val="00C63C4E"/>
    <w:rsid w:val="00C71D60"/>
    <w:rsid w:val="00C75DC3"/>
    <w:rsid w:val="00C90F60"/>
    <w:rsid w:val="00C913AF"/>
    <w:rsid w:val="00C938DA"/>
    <w:rsid w:val="00CA0B82"/>
    <w:rsid w:val="00CA13A5"/>
    <w:rsid w:val="00CC3155"/>
    <w:rsid w:val="00CC36C8"/>
    <w:rsid w:val="00CC6E90"/>
    <w:rsid w:val="00CD155B"/>
    <w:rsid w:val="00CD3945"/>
    <w:rsid w:val="00CE66DE"/>
    <w:rsid w:val="00D06BC7"/>
    <w:rsid w:val="00D22353"/>
    <w:rsid w:val="00D2685E"/>
    <w:rsid w:val="00D26FAE"/>
    <w:rsid w:val="00D36690"/>
    <w:rsid w:val="00D375A7"/>
    <w:rsid w:val="00D40CF5"/>
    <w:rsid w:val="00D50654"/>
    <w:rsid w:val="00D52850"/>
    <w:rsid w:val="00D76A21"/>
    <w:rsid w:val="00D93CB7"/>
    <w:rsid w:val="00D942DB"/>
    <w:rsid w:val="00D9499E"/>
    <w:rsid w:val="00DA0540"/>
    <w:rsid w:val="00DA171E"/>
    <w:rsid w:val="00DA2028"/>
    <w:rsid w:val="00DA5247"/>
    <w:rsid w:val="00DA5309"/>
    <w:rsid w:val="00DB059E"/>
    <w:rsid w:val="00DB52B5"/>
    <w:rsid w:val="00DB58B8"/>
    <w:rsid w:val="00DC3005"/>
    <w:rsid w:val="00DC6AD4"/>
    <w:rsid w:val="00DD2009"/>
    <w:rsid w:val="00DD7363"/>
    <w:rsid w:val="00DE1826"/>
    <w:rsid w:val="00DE6C24"/>
    <w:rsid w:val="00DF1B11"/>
    <w:rsid w:val="00DF4014"/>
    <w:rsid w:val="00E0209C"/>
    <w:rsid w:val="00E23EB6"/>
    <w:rsid w:val="00E26DD5"/>
    <w:rsid w:val="00E33CAD"/>
    <w:rsid w:val="00E3606E"/>
    <w:rsid w:val="00E36581"/>
    <w:rsid w:val="00E428F6"/>
    <w:rsid w:val="00E4587E"/>
    <w:rsid w:val="00E47D22"/>
    <w:rsid w:val="00E52F2C"/>
    <w:rsid w:val="00E55515"/>
    <w:rsid w:val="00E64F96"/>
    <w:rsid w:val="00E66026"/>
    <w:rsid w:val="00E7102C"/>
    <w:rsid w:val="00EB32B9"/>
    <w:rsid w:val="00EC56A4"/>
    <w:rsid w:val="00EC71FB"/>
    <w:rsid w:val="00ED2CF3"/>
    <w:rsid w:val="00ED5D48"/>
    <w:rsid w:val="00EF2EB7"/>
    <w:rsid w:val="00F063B8"/>
    <w:rsid w:val="00F07260"/>
    <w:rsid w:val="00F3239F"/>
    <w:rsid w:val="00F34ACA"/>
    <w:rsid w:val="00F42BB4"/>
    <w:rsid w:val="00F50B67"/>
    <w:rsid w:val="00F52F31"/>
    <w:rsid w:val="00F539E3"/>
    <w:rsid w:val="00F63ED6"/>
    <w:rsid w:val="00F6720C"/>
    <w:rsid w:val="00FA7FD5"/>
    <w:rsid w:val="00FB0373"/>
    <w:rsid w:val="00FB493B"/>
    <w:rsid w:val="00FB69DC"/>
    <w:rsid w:val="00FC5B51"/>
    <w:rsid w:val="00FD0347"/>
    <w:rsid w:val="00FD57B8"/>
    <w:rsid w:val="00FD7713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0DFD8-B40D-4832-A02B-981A0CCD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AE65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1">
    <w:name w:val="Таблица простая 31"/>
    <w:basedOn w:val="a1"/>
    <w:uiPriority w:val="43"/>
    <w:rsid w:val="00AE65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4">
    <w:name w:val="Hyperlink"/>
    <w:basedOn w:val="a0"/>
    <w:uiPriority w:val="99"/>
    <w:unhideWhenUsed/>
    <w:rsid w:val="00941A06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E182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E182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E1826"/>
    <w:rPr>
      <w:vertAlign w:val="superscript"/>
    </w:rPr>
  </w:style>
  <w:style w:type="paragraph" w:styleId="a8">
    <w:name w:val="List Paragraph"/>
    <w:basedOn w:val="a"/>
    <w:uiPriority w:val="34"/>
    <w:qFormat/>
    <w:rsid w:val="000E6196"/>
    <w:pPr>
      <w:ind w:left="720"/>
      <w:contextualSpacing/>
    </w:pPr>
  </w:style>
  <w:style w:type="paragraph" w:customStyle="1" w:styleId="Default">
    <w:name w:val="Default"/>
    <w:rsid w:val="00ED5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4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23AF"/>
  </w:style>
  <w:style w:type="paragraph" w:styleId="ab">
    <w:name w:val="footer"/>
    <w:basedOn w:val="a"/>
    <w:link w:val="ac"/>
    <w:uiPriority w:val="99"/>
    <w:unhideWhenUsed/>
    <w:rsid w:val="00B4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23AF"/>
  </w:style>
  <w:style w:type="paragraph" w:styleId="ad">
    <w:name w:val="Balloon Text"/>
    <w:basedOn w:val="a"/>
    <w:link w:val="ae"/>
    <w:uiPriority w:val="99"/>
    <w:semiHidden/>
    <w:unhideWhenUsed/>
    <w:rsid w:val="0000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A20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5191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5191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5191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191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5191F"/>
    <w:rPr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9015F6"/>
    <w:rPr>
      <w:rFonts w:ascii="OpenSans-Bold" w:hAnsi="OpenSans-Bold" w:hint="default"/>
      <w:b w:val="0"/>
      <w:bCs w:val="0"/>
      <w:color w:val="666666"/>
    </w:rPr>
  </w:style>
  <w:style w:type="paragraph" w:styleId="af5">
    <w:name w:val="Revision"/>
    <w:hidden/>
    <w:uiPriority w:val="99"/>
    <w:semiHidden/>
    <w:rsid w:val="007B4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9193">
          <w:marLeft w:val="446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522">
          <w:marLeft w:val="27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11D2-7C90-4AE1-A3B8-0D14F8D9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2986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Ретивова Анна Валерьевна</dc:creator>
  <cp:lastModifiedBy>Татевосова Мария Рудольфовна</cp:lastModifiedBy>
  <cp:revision>2</cp:revision>
  <cp:lastPrinted>2019-08-30T16:07:00Z</cp:lastPrinted>
  <dcterms:created xsi:type="dcterms:W3CDTF">2021-08-27T13:33:00Z</dcterms:created>
  <dcterms:modified xsi:type="dcterms:W3CDTF">2021-08-27T13:33:00Z</dcterms:modified>
</cp:coreProperties>
</file>