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C3B6B" w14:textId="77777777" w:rsidR="00666A77" w:rsidRPr="002A7B37" w:rsidRDefault="00537B01">
      <w:pPr>
        <w:pStyle w:val="prilozhenieglava"/>
        <w:widowControl w:val="0"/>
        <w:spacing w:before="0" w:after="0"/>
        <w:rPr>
          <w:caps w:val="0"/>
          <w:sz w:val="22"/>
          <w:lang w:val="en-US"/>
        </w:rPr>
      </w:pPr>
      <w:bookmarkStart w:id="0" w:name="_GoBack"/>
      <w:bookmarkEnd w:id="0"/>
      <w:r w:rsidRPr="002A7B37">
        <w:rPr>
          <w:caps w:val="0"/>
          <w:sz w:val="22"/>
          <w:lang w:val="en-US"/>
        </w:rPr>
        <w:t xml:space="preserve">Statement </w:t>
      </w:r>
    </w:p>
    <w:p w14:paraId="6C806258" w14:textId="332EF377" w:rsidR="00666A77" w:rsidRPr="002A7B37" w:rsidRDefault="00537B01">
      <w:pPr>
        <w:pStyle w:val="prilozhenieglava"/>
        <w:widowControl w:val="0"/>
        <w:spacing w:before="0" w:after="0"/>
        <w:rPr>
          <w:caps w:val="0"/>
          <w:sz w:val="22"/>
          <w:lang w:val="en-US"/>
        </w:rPr>
      </w:pPr>
      <w:r w:rsidRPr="002A7B37">
        <w:rPr>
          <w:caps w:val="0"/>
          <w:sz w:val="22"/>
          <w:lang w:val="en-US"/>
        </w:rPr>
        <w:t>“</w:t>
      </w:r>
      <w:r w:rsidR="008F656E" w:rsidRPr="008F656E">
        <w:rPr>
          <w:caps w:val="0"/>
          <w:sz w:val="22"/>
          <w:lang w:val="en-US"/>
        </w:rPr>
        <w:t>On the Material Fact of the Inclusion of the Issuer's Equity Securities in the List of Securities Admitted to Trading by the Russian Trade Organizer</w:t>
      </w:r>
      <w:r w:rsidRPr="002A7B37">
        <w:rPr>
          <w:caps w:val="0"/>
          <w:sz w:val="22"/>
          <w:lang w:val="en-US"/>
        </w:rPr>
        <w:t>”</w:t>
      </w: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423"/>
        <w:gridCol w:w="425"/>
        <w:gridCol w:w="1559"/>
        <w:gridCol w:w="851"/>
        <w:gridCol w:w="2835"/>
        <w:gridCol w:w="142"/>
      </w:tblGrid>
      <w:tr w:rsidR="00666A77" w14:paraId="68C1E67F" w14:textId="77777777" w:rsidTr="00537B01">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449A815" w14:textId="77777777" w:rsidR="00666A77" w:rsidRDefault="00537B01">
            <w:pPr>
              <w:jc w:val="center"/>
              <w:rPr>
                <w:sz w:val="24"/>
              </w:rPr>
            </w:pPr>
            <w:r>
              <w:rPr>
                <w:sz w:val="24"/>
              </w:rPr>
              <w:t xml:space="preserve">1. </w:t>
            </w:r>
            <w:proofErr w:type="spellStart"/>
            <w:r>
              <w:rPr>
                <w:sz w:val="24"/>
              </w:rPr>
              <w:t>General</w:t>
            </w:r>
            <w:proofErr w:type="spellEnd"/>
            <w:r>
              <w:rPr>
                <w:sz w:val="24"/>
              </w:rPr>
              <w:t xml:space="preserve"> </w:t>
            </w:r>
            <w:proofErr w:type="spellStart"/>
            <w:r>
              <w:rPr>
                <w:sz w:val="24"/>
              </w:rPr>
              <w:t>information</w:t>
            </w:r>
            <w:proofErr w:type="spellEnd"/>
          </w:p>
        </w:tc>
      </w:tr>
      <w:tr w:rsidR="00666A77" w:rsidRPr="008F656E" w14:paraId="148B47CE"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B4912B" w14:textId="77777777" w:rsidR="00666A77" w:rsidRPr="002A7B37" w:rsidRDefault="00537B01">
            <w:pPr>
              <w:ind w:left="57"/>
              <w:rPr>
                <w:sz w:val="24"/>
                <w:lang w:val="en-US"/>
              </w:rPr>
            </w:pPr>
            <w:r w:rsidRPr="002A7B37">
              <w:rPr>
                <w:sz w:val="24"/>
                <w:lang w:val="en-US"/>
              </w:rPr>
              <w:t>1.1. Full corporate name of the issuer</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320234" w14:textId="77777777" w:rsidR="00666A77" w:rsidRPr="002A7B37" w:rsidRDefault="00537B01">
            <w:pPr>
              <w:ind w:left="57"/>
              <w:jc w:val="center"/>
              <w:rPr>
                <w:sz w:val="24"/>
                <w:lang w:val="en-US"/>
              </w:rPr>
            </w:pPr>
            <w:r w:rsidRPr="002A7B37">
              <w:rPr>
                <w:b/>
                <w:i/>
                <w:sz w:val="24"/>
                <w:lang w:val="en-US"/>
              </w:rPr>
              <w:t>Public Joint Stock Company "RussNeft"</w:t>
            </w:r>
          </w:p>
        </w:tc>
      </w:tr>
      <w:tr w:rsidR="00666A77" w14:paraId="05D14F36"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4E652E" w14:textId="77777777" w:rsidR="00666A77" w:rsidRPr="002A7B37" w:rsidRDefault="00537B01">
            <w:pPr>
              <w:ind w:left="57"/>
              <w:rPr>
                <w:sz w:val="24"/>
                <w:lang w:val="en-US"/>
              </w:rPr>
            </w:pPr>
            <w:r w:rsidRPr="002A7B37">
              <w:rPr>
                <w:sz w:val="24"/>
                <w:lang w:val="en-US"/>
              </w:rPr>
              <w:t>1.2. Address of issuer</w:t>
            </w:r>
            <w:r w:rsidRPr="002A7B37">
              <w:rPr>
                <w:lang w:val="en-US"/>
              </w:rPr>
              <w:t xml:space="preserve"> </w:t>
            </w:r>
            <w:r w:rsidRPr="002A7B37">
              <w:rPr>
                <w:sz w:val="24"/>
                <w:lang w:val="en-US"/>
              </w:rPr>
              <w:t>specified in the Unified State Register of Legal Entities</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8C6A27" w14:textId="77777777" w:rsidR="00666A77" w:rsidRDefault="00537B01">
            <w:pPr>
              <w:ind w:left="57"/>
              <w:jc w:val="center"/>
              <w:rPr>
                <w:sz w:val="24"/>
              </w:rPr>
            </w:pPr>
            <w:r>
              <w:rPr>
                <w:b/>
                <w:i/>
                <w:sz w:val="24"/>
              </w:rPr>
              <w:t xml:space="preserve">69 </w:t>
            </w:r>
            <w:proofErr w:type="spellStart"/>
            <w:r>
              <w:rPr>
                <w:b/>
                <w:i/>
                <w:sz w:val="24"/>
              </w:rPr>
              <w:t>Pyatnitskaya</w:t>
            </w:r>
            <w:proofErr w:type="spellEnd"/>
            <w:r>
              <w:rPr>
                <w:b/>
                <w:i/>
                <w:sz w:val="24"/>
              </w:rPr>
              <w:t xml:space="preserve"> </w:t>
            </w:r>
            <w:proofErr w:type="spellStart"/>
            <w:r>
              <w:rPr>
                <w:b/>
                <w:i/>
                <w:sz w:val="24"/>
              </w:rPr>
              <w:t>Street</w:t>
            </w:r>
            <w:proofErr w:type="spellEnd"/>
            <w:r>
              <w:rPr>
                <w:b/>
                <w:i/>
                <w:sz w:val="24"/>
              </w:rPr>
              <w:t xml:space="preserve">, </w:t>
            </w:r>
            <w:proofErr w:type="spellStart"/>
            <w:r>
              <w:rPr>
                <w:b/>
                <w:i/>
                <w:sz w:val="24"/>
              </w:rPr>
              <w:t>Moscow</w:t>
            </w:r>
            <w:proofErr w:type="spellEnd"/>
            <w:r>
              <w:rPr>
                <w:b/>
                <w:i/>
                <w:sz w:val="24"/>
              </w:rPr>
              <w:t>, 115054</w:t>
            </w:r>
          </w:p>
        </w:tc>
      </w:tr>
      <w:tr w:rsidR="00666A77" w14:paraId="235DF547"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D87374" w14:textId="77777777" w:rsidR="00666A77" w:rsidRPr="002A7B37" w:rsidRDefault="00537B01">
            <w:pPr>
              <w:ind w:left="57"/>
              <w:rPr>
                <w:sz w:val="24"/>
                <w:lang w:val="en-US"/>
              </w:rPr>
            </w:pPr>
            <w:r w:rsidRPr="002A7B37">
              <w:rPr>
                <w:sz w:val="24"/>
                <w:lang w:val="en-US"/>
              </w:rPr>
              <w:t>1.3. OGRN (Primary State Registration</w:t>
            </w:r>
          </w:p>
          <w:p w14:paraId="0FD202C2" w14:textId="77777777" w:rsidR="00666A77" w:rsidRPr="002A7B37" w:rsidRDefault="00537B01">
            <w:pPr>
              <w:ind w:left="57"/>
              <w:rPr>
                <w:sz w:val="24"/>
                <w:lang w:val="en-US"/>
              </w:rPr>
            </w:pPr>
            <w:r w:rsidRPr="002A7B37">
              <w:rPr>
                <w:sz w:val="24"/>
                <w:lang w:val="en-US"/>
              </w:rPr>
              <w:t xml:space="preserve">Number) of 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C0893F" w14:textId="77777777" w:rsidR="00666A77" w:rsidRDefault="00537B01">
            <w:pPr>
              <w:ind w:left="57"/>
              <w:jc w:val="center"/>
              <w:rPr>
                <w:sz w:val="24"/>
              </w:rPr>
            </w:pPr>
            <w:r>
              <w:rPr>
                <w:b/>
                <w:i/>
                <w:sz w:val="24"/>
              </w:rPr>
              <w:t>1027717003467</w:t>
            </w:r>
          </w:p>
        </w:tc>
      </w:tr>
      <w:tr w:rsidR="00666A77" w14:paraId="78EA024A"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9771E4" w14:textId="77777777" w:rsidR="00666A77" w:rsidRPr="002A7B37" w:rsidRDefault="00537B01">
            <w:pPr>
              <w:ind w:left="57"/>
              <w:rPr>
                <w:sz w:val="24"/>
                <w:lang w:val="en-US"/>
              </w:rPr>
            </w:pPr>
            <w:r w:rsidRPr="002A7B37">
              <w:rPr>
                <w:sz w:val="24"/>
                <w:lang w:val="en-US"/>
              </w:rPr>
              <w:t>1.4. INN (Taxpayer Identification Number) of</w:t>
            </w:r>
          </w:p>
          <w:p w14:paraId="5AF93482" w14:textId="77777777" w:rsidR="00666A77" w:rsidRPr="002A7B37" w:rsidRDefault="00537B01">
            <w:pPr>
              <w:ind w:left="57"/>
              <w:rPr>
                <w:sz w:val="24"/>
                <w:lang w:val="en-US"/>
              </w:rPr>
            </w:pPr>
            <w:r w:rsidRPr="002A7B37">
              <w:rPr>
                <w:sz w:val="24"/>
                <w:lang w:val="en-US"/>
              </w:rPr>
              <w:t xml:space="preserve">Issuer </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6042A9" w14:textId="77777777" w:rsidR="00666A77" w:rsidRDefault="00537B01">
            <w:pPr>
              <w:ind w:left="57"/>
              <w:jc w:val="center"/>
              <w:rPr>
                <w:sz w:val="24"/>
              </w:rPr>
            </w:pPr>
            <w:r>
              <w:rPr>
                <w:b/>
                <w:i/>
                <w:sz w:val="24"/>
              </w:rPr>
              <w:t>7717133960</w:t>
            </w:r>
          </w:p>
        </w:tc>
      </w:tr>
      <w:tr w:rsidR="00666A77" w14:paraId="6DE74BAD"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66DA3A" w14:textId="77777777" w:rsidR="00666A77" w:rsidRPr="002A7B37" w:rsidRDefault="00537B01">
            <w:pPr>
              <w:ind w:left="57"/>
              <w:rPr>
                <w:sz w:val="24"/>
                <w:lang w:val="en-US"/>
              </w:rPr>
            </w:pPr>
            <w:r w:rsidRPr="002A7B37">
              <w:rPr>
                <w:sz w:val="24"/>
                <w:lang w:val="en-US"/>
              </w:rPr>
              <w:t>1.5. Unique issuer code assigned by registration authority</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CEBAF6" w14:textId="77777777" w:rsidR="00666A77" w:rsidRDefault="00537B01">
            <w:pPr>
              <w:ind w:left="57"/>
              <w:jc w:val="center"/>
              <w:rPr>
                <w:sz w:val="24"/>
              </w:rPr>
            </w:pPr>
            <w:r>
              <w:rPr>
                <w:b/>
                <w:i/>
                <w:sz w:val="24"/>
              </w:rPr>
              <w:t>39134-Н</w:t>
            </w:r>
          </w:p>
        </w:tc>
      </w:tr>
      <w:tr w:rsidR="00666A77" w14:paraId="6ABD9308"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4F23A8" w14:textId="77777777" w:rsidR="00666A77" w:rsidRPr="002A7B37" w:rsidRDefault="00537B01">
            <w:pPr>
              <w:ind w:left="57"/>
              <w:rPr>
                <w:sz w:val="24"/>
                <w:lang w:val="en-US"/>
              </w:rPr>
            </w:pPr>
            <w:r w:rsidRPr="002A7B37">
              <w:rPr>
                <w:sz w:val="24"/>
                <w:lang w:val="en-US"/>
              </w:rPr>
              <w:t>1.6. Website used by issuer to disclose information</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17CEF4" w14:textId="77777777" w:rsidR="00666A77" w:rsidRPr="002A7B37" w:rsidRDefault="008855D1">
            <w:pPr>
              <w:ind w:left="57"/>
              <w:rPr>
                <w:b/>
                <w:i/>
                <w:sz w:val="22"/>
                <w:lang w:val="en-US"/>
              </w:rPr>
            </w:pPr>
            <w:hyperlink r:id="rId5" w:history="1">
              <w:r w:rsidR="00537B01" w:rsidRPr="002A7B37">
                <w:rPr>
                  <w:rStyle w:val="ab"/>
                  <w:b/>
                  <w:i/>
                  <w:sz w:val="22"/>
                  <w:lang w:val="en-US"/>
                </w:rPr>
                <w:t>http://www.e-disclosure.ru/portal/company.aspx?id=534</w:t>
              </w:r>
            </w:hyperlink>
            <w:r w:rsidR="00537B01" w:rsidRPr="002A7B37">
              <w:rPr>
                <w:b/>
                <w:i/>
                <w:sz w:val="22"/>
                <w:lang w:val="en-US"/>
              </w:rPr>
              <w:t>;</w:t>
            </w:r>
          </w:p>
          <w:p w14:paraId="6C6B4832" w14:textId="77777777" w:rsidR="00666A77" w:rsidRDefault="008855D1">
            <w:pPr>
              <w:ind w:left="57"/>
              <w:rPr>
                <w:b/>
                <w:i/>
                <w:sz w:val="24"/>
              </w:rPr>
            </w:pPr>
            <w:hyperlink r:id="rId6" w:history="1">
              <w:r w:rsidR="00537B01">
                <w:rPr>
                  <w:rStyle w:val="ab"/>
                  <w:b/>
                  <w:i/>
                  <w:sz w:val="22"/>
                </w:rPr>
                <w:t>http://www.russneft.ru/</w:t>
              </w:r>
            </w:hyperlink>
          </w:p>
        </w:tc>
      </w:tr>
      <w:tr w:rsidR="00537B01" w14:paraId="38B28104" w14:textId="77777777" w:rsidTr="00537B01">
        <w:tc>
          <w:tcPr>
            <w:tcW w:w="484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BE9744" w14:textId="0D957025" w:rsidR="00537B01" w:rsidRPr="002A7B37" w:rsidRDefault="00537B01" w:rsidP="00537B01">
            <w:pPr>
              <w:ind w:left="57"/>
              <w:rPr>
                <w:lang w:val="en-US"/>
              </w:rPr>
            </w:pPr>
            <w:r w:rsidRPr="002A7B37">
              <w:rPr>
                <w:sz w:val="24"/>
                <w:lang w:val="en-US"/>
              </w:rPr>
              <w:t>1.7. The date of the occurrence of the event (corporate event), about which the statement was drafted</w:t>
            </w:r>
            <w:r>
              <w:rPr>
                <w:sz w:val="24"/>
                <w:lang w:val="en-US"/>
              </w:rPr>
              <w:t xml:space="preserve"> </w:t>
            </w:r>
            <w:r w:rsidRPr="002A7B37">
              <w:rPr>
                <w:sz w:val="24"/>
                <w:lang w:val="en-US"/>
              </w:rPr>
              <w:t>(if applicable)</w:t>
            </w:r>
          </w:p>
        </w:tc>
        <w:tc>
          <w:tcPr>
            <w:tcW w:w="538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BDBAC1" w14:textId="2E20B9A7" w:rsidR="00537B01" w:rsidRDefault="00537B01" w:rsidP="00537B01">
            <w:pPr>
              <w:jc w:val="center"/>
              <w:rPr>
                <w:b/>
                <w:i/>
                <w:sz w:val="22"/>
              </w:rPr>
            </w:pPr>
            <w:r>
              <w:rPr>
                <w:b/>
                <w:i/>
                <w:sz w:val="22"/>
                <w:szCs w:val="22"/>
              </w:rPr>
              <w:t>06.11.2024</w:t>
            </w:r>
          </w:p>
        </w:tc>
      </w:tr>
      <w:tr w:rsidR="00666A77" w14:paraId="76944B67" w14:textId="77777777" w:rsidTr="00537B01">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30C3685" w14:textId="4ECB4D4F" w:rsidR="00666A77" w:rsidRDefault="00537B01">
            <w:pPr>
              <w:widowControl w:val="0"/>
              <w:jc w:val="center"/>
              <w:rPr>
                <w:sz w:val="22"/>
              </w:rPr>
            </w:pPr>
            <w:r>
              <w:rPr>
                <w:sz w:val="22"/>
              </w:rPr>
              <w:t xml:space="preserve">2. </w:t>
            </w:r>
            <w:proofErr w:type="spellStart"/>
            <w:r>
              <w:rPr>
                <w:sz w:val="22"/>
              </w:rPr>
              <w:t>Contents</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Statement</w:t>
            </w:r>
            <w:proofErr w:type="spellEnd"/>
          </w:p>
        </w:tc>
      </w:tr>
      <w:tr w:rsidR="00666A77" w:rsidRPr="008F656E" w14:paraId="718DE1B0" w14:textId="77777777" w:rsidTr="00537B01">
        <w:trPr>
          <w:trHeight w:val="1373"/>
        </w:trPr>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8E01DB" w14:textId="7AD3ABFA" w:rsidR="008F656E" w:rsidRPr="008F656E" w:rsidRDefault="008F656E" w:rsidP="008F656E">
            <w:pPr>
              <w:widowControl w:val="0"/>
              <w:ind w:left="142" w:right="255"/>
              <w:jc w:val="both"/>
              <w:rPr>
                <w:rStyle w:val="1"/>
                <w:sz w:val="22"/>
                <w:lang w:val="en-US"/>
              </w:rPr>
            </w:pPr>
            <w:r w:rsidRPr="008F656E">
              <w:rPr>
                <w:rStyle w:val="1"/>
                <w:sz w:val="22"/>
                <w:lang w:val="en-US"/>
              </w:rPr>
              <w:t xml:space="preserve">2.1. Full corporate name of the Russian trade organizer that included the issuer's securities in the list of securities admitted to organized auctions for the conclusion of purchase and sale agreements (the Russian stock exchange that included the issuer's securities in the quotation list): </w:t>
            </w:r>
            <w:r w:rsidRPr="008F656E">
              <w:rPr>
                <w:rStyle w:val="1"/>
                <w:b/>
                <w:bCs/>
                <w:sz w:val="22"/>
                <w:lang w:val="en-US"/>
              </w:rPr>
              <w:t>Public Joint Stock Company "SPB EXCHANGE"</w:t>
            </w:r>
            <w:r w:rsidRPr="008F656E">
              <w:rPr>
                <w:rStyle w:val="1"/>
                <w:sz w:val="22"/>
                <w:lang w:val="en-US"/>
              </w:rPr>
              <w:t>.</w:t>
            </w:r>
          </w:p>
          <w:p w14:paraId="1BE9F512" w14:textId="165EBC19" w:rsidR="008F656E" w:rsidRPr="008F656E" w:rsidRDefault="008F656E" w:rsidP="008F656E">
            <w:pPr>
              <w:widowControl w:val="0"/>
              <w:ind w:left="142" w:right="255"/>
              <w:jc w:val="both"/>
              <w:rPr>
                <w:rStyle w:val="1"/>
                <w:sz w:val="22"/>
                <w:lang w:val="en-US"/>
              </w:rPr>
            </w:pPr>
            <w:r w:rsidRPr="008F656E">
              <w:rPr>
                <w:rStyle w:val="1"/>
                <w:sz w:val="22"/>
                <w:lang w:val="en-US"/>
              </w:rPr>
              <w:t xml:space="preserve">2.2. Identification features of the issuer's securities, which are included by the Russian trade organizer in the list of securities admitted to organized trading for the conclusion of purchase and sale agreements (included by the Russian exchange in the quotation list): </w:t>
            </w:r>
            <w:r w:rsidRPr="008F656E">
              <w:rPr>
                <w:rStyle w:val="1"/>
                <w:b/>
                <w:bCs/>
                <w:i/>
                <w:iCs/>
                <w:sz w:val="22"/>
                <w:lang w:val="en-US"/>
              </w:rPr>
              <w:t>ordinary registered undocumented shares, state registration number 1-02-39134-H, date of state registration 05.10.2016; international securities identification number (ISIN): RU000A0JSE60, international classification code of financial instruments (CFI): ESVXFR</w:t>
            </w:r>
            <w:r w:rsidRPr="008F656E">
              <w:rPr>
                <w:rStyle w:val="1"/>
                <w:sz w:val="22"/>
                <w:lang w:val="en-US"/>
              </w:rPr>
              <w:t>.</w:t>
            </w:r>
          </w:p>
          <w:p w14:paraId="796B6417" w14:textId="77777777" w:rsidR="008F656E" w:rsidRPr="008F656E" w:rsidRDefault="008F656E" w:rsidP="008F656E">
            <w:pPr>
              <w:widowControl w:val="0"/>
              <w:ind w:left="142" w:right="255"/>
              <w:jc w:val="both"/>
              <w:rPr>
                <w:rStyle w:val="1"/>
                <w:sz w:val="22"/>
                <w:lang w:val="en-US"/>
              </w:rPr>
            </w:pPr>
            <w:r w:rsidRPr="008F656E">
              <w:rPr>
                <w:rStyle w:val="1"/>
                <w:sz w:val="22"/>
                <w:lang w:val="en-US"/>
              </w:rPr>
              <w:t xml:space="preserve">2.3. In case of inclusion of the issuer's securities by the Russian exchange in the quotation list - the name of the quotation list in which the issuer's securities are included – </w:t>
            </w:r>
            <w:r w:rsidRPr="008F656E">
              <w:rPr>
                <w:rStyle w:val="1"/>
                <w:b/>
                <w:bCs/>
                <w:i/>
                <w:iCs/>
                <w:sz w:val="22"/>
                <w:lang w:val="en-US"/>
              </w:rPr>
              <w:t>the securities are included in the Non-Quoted part of the list of securities admitted to trading</w:t>
            </w:r>
            <w:r w:rsidRPr="008F656E">
              <w:rPr>
                <w:rStyle w:val="1"/>
                <w:sz w:val="22"/>
                <w:lang w:val="en-US"/>
              </w:rPr>
              <w:t>.</w:t>
            </w:r>
          </w:p>
          <w:p w14:paraId="27EBBB2C" w14:textId="790E4ED8" w:rsidR="008F656E" w:rsidRPr="008F656E" w:rsidRDefault="008F656E" w:rsidP="008F656E">
            <w:pPr>
              <w:widowControl w:val="0"/>
              <w:ind w:left="142" w:right="255"/>
              <w:jc w:val="both"/>
              <w:rPr>
                <w:rStyle w:val="1"/>
                <w:sz w:val="22"/>
                <w:lang w:val="en-US"/>
              </w:rPr>
            </w:pPr>
            <w:r w:rsidRPr="008F656E">
              <w:rPr>
                <w:rStyle w:val="1"/>
                <w:sz w:val="22"/>
                <w:lang w:val="en-US"/>
              </w:rPr>
              <w:t xml:space="preserve">2.4. If the issuer's securities are allowed to participate in organized trading conducted by the Russian trade organizer in the process of their placement, </w:t>
            </w:r>
            <w:r w:rsidR="00A67B4E">
              <w:rPr>
                <w:rStyle w:val="1"/>
                <w:sz w:val="22"/>
                <w:lang w:val="en-US"/>
              </w:rPr>
              <w:t>refer to such</w:t>
            </w:r>
            <w:r w:rsidRPr="008F656E">
              <w:rPr>
                <w:rStyle w:val="1"/>
                <w:sz w:val="22"/>
                <w:lang w:val="en-US"/>
              </w:rPr>
              <w:t xml:space="preserve"> circumstance and </w:t>
            </w:r>
            <w:r w:rsidR="00A67B4E">
              <w:rPr>
                <w:rStyle w:val="1"/>
                <w:sz w:val="22"/>
                <w:lang w:val="en-US"/>
              </w:rPr>
              <w:t xml:space="preserve">specify </w:t>
            </w:r>
            <w:r w:rsidRPr="008F656E">
              <w:rPr>
                <w:rStyle w:val="1"/>
                <w:sz w:val="22"/>
                <w:lang w:val="en-US"/>
              </w:rPr>
              <w:t xml:space="preserve">the number of the issuer's securities: </w:t>
            </w:r>
            <w:r w:rsidRPr="008F656E">
              <w:rPr>
                <w:rStyle w:val="1"/>
                <w:b/>
                <w:bCs/>
                <w:i/>
                <w:iCs/>
                <w:sz w:val="22"/>
                <w:lang w:val="en-US"/>
              </w:rPr>
              <w:t>not applicable</w:t>
            </w:r>
            <w:r w:rsidRPr="008F656E">
              <w:rPr>
                <w:rStyle w:val="1"/>
                <w:sz w:val="22"/>
                <w:lang w:val="en-US"/>
              </w:rPr>
              <w:t>.</w:t>
            </w:r>
          </w:p>
          <w:p w14:paraId="7732C3C9" w14:textId="1978415B" w:rsidR="00666A77" w:rsidRPr="002A7B37" w:rsidRDefault="008F656E" w:rsidP="008F656E">
            <w:pPr>
              <w:ind w:left="107"/>
              <w:rPr>
                <w:i/>
                <w:sz w:val="22"/>
                <w:lang w:val="en-US"/>
              </w:rPr>
            </w:pPr>
            <w:r w:rsidRPr="008F656E">
              <w:rPr>
                <w:rStyle w:val="1"/>
                <w:sz w:val="22"/>
                <w:lang w:val="en-US"/>
              </w:rPr>
              <w:t xml:space="preserve">2.5. Date of inclusion of the issuer's securities by the Russian trade organizer in the list of securities admitted to organized trading for the conclusion of purchase and sale agreements (inclusion of the issuer's securities by the Russian exchange in the quotation list): </w:t>
            </w:r>
            <w:r w:rsidRPr="00A67B4E">
              <w:rPr>
                <w:rStyle w:val="1"/>
                <w:b/>
                <w:bCs/>
                <w:sz w:val="22"/>
                <w:lang w:val="en-US"/>
              </w:rPr>
              <w:t>06.11.2024</w:t>
            </w:r>
            <w:r w:rsidRPr="008F656E">
              <w:rPr>
                <w:rStyle w:val="1"/>
                <w:sz w:val="22"/>
                <w:lang w:val="en-US"/>
              </w:rPr>
              <w:t>.</w:t>
            </w:r>
          </w:p>
        </w:tc>
      </w:tr>
      <w:tr w:rsidR="00666A77" w14:paraId="173F7E89" w14:textId="77777777" w:rsidTr="00537B01">
        <w:tc>
          <w:tcPr>
            <w:tcW w:w="1023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181DE3" w14:textId="77777777" w:rsidR="00666A77" w:rsidRDefault="00537B01">
            <w:pPr>
              <w:widowControl w:val="0"/>
              <w:jc w:val="center"/>
              <w:rPr>
                <w:sz w:val="24"/>
              </w:rPr>
            </w:pPr>
            <w:r>
              <w:rPr>
                <w:sz w:val="24"/>
              </w:rPr>
              <w:t xml:space="preserve">3. </w:t>
            </w:r>
            <w:proofErr w:type="spellStart"/>
            <w:r>
              <w:rPr>
                <w:sz w:val="24"/>
              </w:rPr>
              <w:t>Signature</w:t>
            </w:r>
            <w:proofErr w:type="spellEnd"/>
          </w:p>
        </w:tc>
      </w:tr>
      <w:tr w:rsidR="00666A77" w14:paraId="1C0071A7" w14:textId="77777777" w:rsidTr="00537B01">
        <w:tc>
          <w:tcPr>
            <w:tcW w:w="4423" w:type="dxa"/>
            <w:tcBorders>
              <w:top w:val="single" w:sz="4" w:space="0" w:color="000000"/>
              <w:left w:val="single" w:sz="4" w:space="0" w:color="000000"/>
              <w:bottom w:val="nil"/>
              <w:right w:val="nil"/>
            </w:tcBorders>
            <w:tcMar>
              <w:top w:w="0" w:type="dxa"/>
              <w:left w:w="28" w:type="dxa"/>
              <w:bottom w:w="0" w:type="dxa"/>
              <w:right w:w="28" w:type="dxa"/>
            </w:tcMar>
            <w:vAlign w:val="bottom"/>
          </w:tcPr>
          <w:p w14:paraId="79E604FD" w14:textId="77777777" w:rsidR="00666A77" w:rsidRPr="002A7B37" w:rsidRDefault="00537B01">
            <w:pPr>
              <w:widowControl w:val="0"/>
              <w:ind w:left="57"/>
              <w:rPr>
                <w:b/>
                <w:sz w:val="22"/>
                <w:lang w:val="en-US"/>
              </w:rPr>
            </w:pPr>
            <w:r w:rsidRPr="002A7B37">
              <w:rPr>
                <w:sz w:val="22"/>
                <w:lang w:val="en-US"/>
              </w:rPr>
              <w:t>3.1.</w:t>
            </w:r>
            <w:r w:rsidRPr="002A7B37">
              <w:rPr>
                <w:b/>
                <w:sz w:val="22"/>
                <w:lang w:val="en-US"/>
              </w:rPr>
              <w:t xml:space="preserve"> </w:t>
            </w:r>
            <w:r w:rsidRPr="002A7B37">
              <w:rPr>
                <w:sz w:val="22"/>
                <w:lang w:val="en-US"/>
              </w:rPr>
              <w:t>Vice President of PJSC “RussNeft”</w:t>
            </w:r>
          </w:p>
        </w:tc>
        <w:tc>
          <w:tcPr>
            <w:tcW w:w="1984" w:type="dxa"/>
            <w:gridSpan w:val="2"/>
            <w:tcBorders>
              <w:top w:val="single" w:sz="4" w:space="0" w:color="000000"/>
              <w:left w:val="nil"/>
              <w:bottom w:val="single" w:sz="4" w:space="0" w:color="000000"/>
              <w:right w:val="nil"/>
            </w:tcBorders>
            <w:tcMar>
              <w:top w:w="0" w:type="dxa"/>
              <w:left w:w="28" w:type="dxa"/>
              <w:bottom w:w="0" w:type="dxa"/>
              <w:right w:w="28" w:type="dxa"/>
            </w:tcMar>
            <w:vAlign w:val="bottom"/>
          </w:tcPr>
          <w:p w14:paraId="085A5919" w14:textId="77777777" w:rsidR="00666A77" w:rsidRPr="002A7B37" w:rsidRDefault="00666A77">
            <w:pPr>
              <w:widowControl w:val="0"/>
              <w:rPr>
                <w:b/>
                <w:sz w:val="22"/>
                <w:lang w:val="en-US"/>
              </w:rPr>
            </w:pPr>
          </w:p>
        </w:tc>
        <w:tc>
          <w:tcPr>
            <w:tcW w:w="851" w:type="dxa"/>
            <w:tcBorders>
              <w:top w:val="single" w:sz="4" w:space="0" w:color="000000"/>
              <w:left w:val="nil"/>
              <w:bottom w:val="nil"/>
              <w:right w:val="nil"/>
            </w:tcBorders>
            <w:tcMar>
              <w:top w:w="0" w:type="dxa"/>
              <w:left w:w="28" w:type="dxa"/>
              <w:bottom w:w="0" w:type="dxa"/>
              <w:right w:w="28" w:type="dxa"/>
            </w:tcMar>
            <w:vAlign w:val="bottom"/>
          </w:tcPr>
          <w:p w14:paraId="0D18B8E0" w14:textId="77777777" w:rsidR="00666A77" w:rsidRPr="002A7B37" w:rsidRDefault="00666A77">
            <w:pPr>
              <w:widowControl w:val="0"/>
              <w:rPr>
                <w:b/>
                <w:sz w:val="22"/>
                <w:lang w:val="en-US"/>
              </w:rPr>
            </w:pPr>
          </w:p>
        </w:tc>
        <w:tc>
          <w:tcPr>
            <w:tcW w:w="2835" w:type="dxa"/>
            <w:tcBorders>
              <w:top w:val="single" w:sz="4" w:space="0" w:color="000000"/>
              <w:left w:val="nil"/>
              <w:bottom w:val="nil"/>
              <w:right w:val="nil"/>
            </w:tcBorders>
            <w:tcMar>
              <w:top w:w="0" w:type="dxa"/>
              <w:left w:w="28" w:type="dxa"/>
              <w:bottom w:w="0" w:type="dxa"/>
              <w:right w:w="28" w:type="dxa"/>
            </w:tcMar>
            <w:vAlign w:val="bottom"/>
          </w:tcPr>
          <w:p w14:paraId="087923F9" w14:textId="77777777" w:rsidR="00666A77" w:rsidRDefault="00537B01">
            <w:pPr>
              <w:widowControl w:val="0"/>
              <w:jc w:val="center"/>
              <w:rPr>
                <w:sz w:val="22"/>
              </w:rPr>
            </w:pPr>
            <w:r>
              <w:rPr>
                <w:sz w:val="22"/>
              </w:rPr>
              <w:t xml:space="preserve">D.V. </w:t>
            </w:r>
            <w:proofErr w:type="spellStart"/>
            <w:r>
              <w:rPr>
                <w:sz w:val="22"/>
              </w:rPr>
              <w:t>Romanov</w:t>
            </w:r>
            <w:proofErr w:type="spellEnd"/>
          </w:p>
        </w:tc>
        <w:tc>
          <w:tcPr>
            <w:tcW w:w="142" w:type="dxa"/>
            <w:tcBorders>
              <w:top w:val="single" w:sz="4" w:space="0" w:color="000000"/>
              <w:left w:val="nil"/>
              <w:bottom w:val="nil"/>
              <w:right w:val="single" w:sz="4" w:space="0" w:color="000000"/>
            </w:tcBorders>
            <w:tcMar>
              <w:top w:w="0" w:type="dxa"/>
              <w:left w:w="28" w:type="dxa"/>
              <w:bottom w:w="0" w:type="dxa"/>
              <w:right w:w="28" w:type="dxa"/>
            </w:tcMar>
            <w:vAlign w:val="bottom"/>
          </w:tcPr>
          <w:p w14:paraId="2A65BC95" w14:textId="77777777" w:rsidR="00666A77" w:rsidRDefault="00666A77">
            <w:pPr>
              <w:widowControl w:val="0"/>
              <w:rPr>
                <w:sz w:val="22"/>
              </w:rPr>
            </w:pPr>
          </w:p>
        </w:tc>
      </w:tr>
      <w:tr w:rsidR="00666A77" w14:paraId="6AD12051" w14:textId="77777777" w:rsidTr="00537B01">
        <w:trPr>
          <w:trHeight w:hRule="exact" w:val="280"/>
        </w:trPr>
        <w:tc>
          <w:tcPr>
            <w:tcW w:w="4423" w:type="dxa"/>
            <w:tcBorders>
              <w:top w:val="nil"/>
              <w:left w:val="single" w:sz="4" w:space="0" w:color="000000"/>
              <w:bottom w:val="nil"/>
              <w:right w:val="nil"/>
            </w:tcBorders>
            <w:tcMar>
              <w:top w:w="0" w:type="dxa"/>
              <w:left w:w="28" w:type="dxa"/>
              <w:bottom w:w="0" w:type="dxa"/>
              <w:right w:w="28" w:type="dxa"/>
            </w:tcMar>
          </w:tcPr>
          <w:p w14:paraId="5814DF1F" w14:textId="77777777" w:rsidR="00666A77" w:rsidRDefault="00666A77">
            <w:pPr>
              <w:widowControl w:val="0"/>
              <w:ind w:left="57"/>
              <w:rPr>
                <w:sz w:val="22"/>
              </w:rPr>
            </w:pPr>
          </w:p>
        </w:tc>
        <w:tc>
          <w:tcPr>
            <w:tcW w:w="1984" w:type="dxa"/>
            <w:gridSpan w:val="2"/>
            <w:tcBorders>
              <w:top w:val="nil"/>
              <w:left w:val="nil"/>
              <w:bottom w:val="nil"/>
              <w:right w:val="nil"/>
            </w:tcBorders>
            <w:tcMar>
              <w:top w:w="0" w:type="dxa"/>
              <w:left w:w="28" w:type="dxa"/>
              <w:bottom w:w="0" w:type="dxa"/>
              <w:right w:w="28" w:type="dxa"/>
            </w:tcMar>
          </w:tcPr>
          <w:p w14:paraId="33C07EBB" w14:textId="77777777" w:rsidR="00666A77" w:rsidRDefault="00537B01">
            <w:pPr>
              <w:widowControl w:val="0"/>
              <w:jc w:val="center"/>
              <w:rPr>
                <w:sz w:val="22"/>
              </w:rPr>
            </w:pPr>
            <w:r>
              <w:rPr>
                <w:sz w:val="22"/>
              </w:rPr>
              <w:t>(</w:t>
            </w:r>
            <w:proofErr w:type="spellStart"/>
            <w:r>
              <w:rPr>
                <w:sz w:val="22"/>
              </w:rPr>
              <w:t>signature</w:t>
            </w:r>
            <w:proofErr w:type="spellEnd"/>
            <w:r>
              <w:rPr>
                <w:sz w:val="22"/>
              </w:rPr>
              <w:t>)</w:t>
            </w:r>
          </w:p>
        </w:tc>
        <w:tc>
          <w:tcPr>
            <w:tcW w:w="851" w:type="dxa"/>
            <w:tcBorders>
              <w:top w:val="nil"/>
              <w:left w:val="nil"/>
              <w:bottom w:val="nil"/>
              <w:right w:val="nil"/>
            </w:tcBorders>
            <w:tcMar>
              <w:top w:w="0" w:type="dxa"/>
              <w:left w:w="28" w:type="dxa"/>
              <w:bottom w:w="0" w:type="dxa"/>
              <w:right w:w="28" w:type="dxa"/>
            </w:tcMar>
          </w:tcPr>
          <w:p w14:paraId="7ACA96EF" w14:textId="77777777" w:rsidR="00666A77" w:rsidRDefault="00666A77">
            <w:pPr>
              <w:widowControl w:val="0"/>
              <w:rPr>
                <w:sz w:val="22"/>
              </w:rPr>
            </w:pPr>
          </w:p>
        </w:tc>
        <w:tc>
          <w:tcPr>
            <w:tcW w:w="2835" w:type="dxa"/>
            <w:tcBorders>
              <w:top w:val="nil"/>
              <w:left w:val="nil"/>
              <w:bottom w:val="nil"/>
              <w:right w:val="nil"/>
            </w:tcBorders>
            <w:tcMar>
              <w:top w:w="0" w:type="dxa"/>
              <w:left w:w="28" w:type="dxa"/>
              <w:bottom w:w="0" w:type="dxa"/>
              <w:right w:w="28" w:type="dxa"/>
            </w:tcMar>
          </w:tcPr>
          <w:p w14:paraId="490D4835" w14:textId="77777777" w:rsidR="00666A77" w:rsidRDefault="00666A77">
            <w:pPr>
              <w:widowControl w:val="0"/>
              <w:rPr>
                <w:sz w:val="22"/>
              </w:rPr>
            </w:pPr>
          </w:p>
        </w:tc>
        <w:tc>
          <w:tcPr>
            <w:tcW w:w="142" w:type="dxa"/>
            <w:tcBorders>
              <w:top w:val="nil"/>
              <w:left w:val="nil"/>
              <w:bottom w:val="nil"/>
              <w:right w:val="single" w:sz="4" w:space="0" w:color="000000"/>
            </w:tcBorders>
            <w:tcMar>
              <w:top w:w="0" w:type="dxa"/>
              <w:left w:w="28" w:type="dxa"/>
              <w:bottom w:w="0" w:type="dxa"/>
              <w:right w:w="28" w:type="dxa"/>
            </w:tcMar>
          </w:tcPr>
          <w:p w14:paraId="1D97FCFC" w14:textId="77777777" w:rsidR="00666A77" w:rsidRDefault="00666A77">
            <w:pPr>
              <w:widowControl w:val="0"/>
              <w:rPr>
                <w:sz w:val="22"/>
              </w:rPr>
            </w:pPr>
          </w:p>
        </w:tc>
      </w:tr>
      <w:tr w:rsidR="00666A77" w14:paraId="6EE16BA2" w14:textId="77777777" w:rsidTr="00537B01">
        <w:trPr>
          <w:trHeight w:val="70"/>
        </w:trPr>
        <w:tc>
          <w:tcPr>
            <w:tcW w:w="4423" w:type="dxa"/>
            <w:tcBorders>
              <w:top w:val="nil"/>
              <w:left w:val="single" w:sz="4" w:space="0" w:color="000000"/>
              <w:bottom w:val="nil"/>
              <w:right w:val="nil"/>
            </w:tcBorders>
            <w:tcMar>
              <w:top w:w="0" w:type="dxa"/>
              <w:left w:w="28" w:type="dxa"/>
              <w:bottom w:w="0" w:type="dxa"/>
              <w:right w:w="28" w:type="dxa"/>
            </w:tcMar>
          </w:tcPr>
          <w:p w14:paraId="73D1BC48" w14:textId="0A162FAC" w:rsidR="00666A77" w:rsidRDefault="00537B01">
            <w:pPr>
              <w:widowControl w:val="0"/>
              <w:ind w:left="57"/>
              <w:rPr>
                <w:sz w:val="22"/>
              </w:rPr>
            </w:pPr>
            <w:r>
              <w:rPr>
                <w:sz w:val="22"/>
              </w:rPr>
              <w:t xml:space="preserve">3.2. </w:t>
            </w:r>
            <w:proofErr w:type="spellStart"/>
            <w:r>
              <w:rPr>
                <w:sz w:val="22"/>
              </w:rPr>
              <w:t>Date</w:t>
            </w:r>
            <w:proofErr w:type="spellEnd"/>
            <w:r>
              <w:rPr>
                <w:sz w:val="22"/>
              </w:rPr>
              <w:t xml:space="preserve">: </w:t>
            </w:r>
            <w:r>
              <w:rPr>
                <w:sz w:val="22"/>
                <w:lang w:val="en-US"/>
              </w:rPr>
              <w:t>November</w:t>
            </w:r>
            <w:r>
              <w:rPr>
                <w:sz w:val="22"/>
              </w:rPr>
              <w:t xml:space="preserve"> </w:t>
            </w:r>
            <w:r>
              <w:rPr>
                <w:sz w:val="22"/>
                <w:lang w:val="en-US"/>
              </w:rPr>
              <w:t>6</w:t>
            </w:r>
            <w:r>
              <w:rPr>
                <w:sz w:val="22"/>
              </w:rPr>
              <w:t>, 2024</w:t>
            </w:r>
          </w:p>
        </w:tc>
        <w:tc>
          <w:tcPr>
            <w:tcW w:w="1984" w:type="dxa"/>
            <w:gridSpan w:val="2"/>
            <w:tcBorders>
              <w:top w:val="nil"/>
              <w:left w:val="nil"/>
              <w:bottom w:val="nil"/>
              <w:right w:val="nil"/>
            </w:tcBorders>
            <w:tcMar>
              <w:top w:w="0" w:type="dxa"/>
              <w:left w:w="28" w:type="dxa"/>
              <w:bottom w:w="0" w:type="dxa"/>
              <w:right w:w="28" w:type="dxa"/>
            </w:tcMar>
          </w:tcPr>
          <w:p w14:paraId="503115E9" w14:textId="77777777" w:rsidR="00666A77" w:rsidRDefault="00537B01">
            <w:pPr>
              <w:widowControl w:val="0"/>
              <w:jc w:val="center"/>
              <w:rPr>
                <w:sz w:val="22"/>
              </w:rPr>
            </w:pPr>
            <w:proofErr w:type="spellStart"/>
            <w:r>
              <w:rPr>
                <w:sz w:val="22"/>
              </w:rPr>
              <w:t>seal</w:t>
            </w:r>
            <w:proofErr w:type="spellEnd"/>
          </w:p>
        </w:tc>
        <w:tc>
          <w:tcPr>
            <w:tcW w:w="3828" w:type="dxa"/>
            <w:gridSpan w:val="3"/>
            <w:tcBorders>
              <w:top w:val="nil"/>
              <w:left w:val="nil"/>
              <w:bottom w:val="nil"/>
              <w:right w:val="single" w:sz="4" w:space="0" w:color="000000"/>
            </w:tcBorders>
            <w:tcMar>
              <w:top w:w="0" w:type="dxa"/>
              <w:left w:w="28" w:type="dxa"/>
              <w:bottom w:w="0" w:type="dxa"/>
              <w:right w:w="28" w:type="dxa"/>
            </w:tcMar>
          </w:tcPr>
          <w:p w14:paraId="062259F3" w14:textId="77777777" w:rsidR="00666A77" w:rsidRDefault="00666A77">
            <w:pPr>
              <w:widowControl w:val="0"/>
              <w:rPr>
                <w:sz w:val="22"/>
              </w:rPr>
            </w:pPr>
          </w:p>
        </w:tc>
      </w:tr>
      <w:tr w:rsidR="00666A77" w14:paraId="24C5231A" w14:textId="77777777" w:rsidTr="00537B01">
        <w:trPr>
          <w:trHeight w:val="70"/>
        </w:trPr>
        <w:tc>
          <w:tcPr>
            <w:tcW w:w="4423" w:type="dxa"/>
            <w:tcBorders>
              <w:top w:val="nil"/>
              <w:left w:val="single" w:sz="4" w:space="0" w:color="000000"/>
              <w:bottom w:val="single" w:sz="4" w:space="0" w:color="000000"/>
              <w:right w:val="nil"/>
            </w:tcBorders>
            <w:tcMar>
              <w:top w:w="0" w:type="dxa"/>
              <w:left w:w="28" w:type="dxa"/>
              <w:bottom w:w="0" w:type="dxa"/>
              <w:right w:w="28" w:type="dxa"/>
            </w:tcMar>
          </w:tcPr>
          <w:p w14:paraId="58EB1412" w14:textId="77777777" w:rsidR="00666A77" w:rsidRDefault="00666A77">
            <w:pPr>
              <w:widowControl w:val="0"/>
              <w:ind w:left="57"/>
              <w:rPr>
                <w:sz w:val="22"/>
              </w:rPr>
            </w:pPr>
          </w:p>
        </w:tc>
        <w:tc>
          <w:tcPr>
            <w:tcW w:w="1984" w:type="dxa"/>
            <w:gridSpan w:val="2"/>
            <w:tcBorders>
              <w:top w:val="nil"/>
              <w:left w:val="nil"/>
              <w:bottom w:val="single" w:sz="4" w:space="0" w:color="000000"/>
              <w:right w:val="nil"/>
            </w:tcBorders>
            <w:tcMar>
              <w:top w:w="0" w:type="dxa"/>
              <w:left w:w="28" w:type="dxa"/>
              <w:bottom w:w="0" w:type="dxa"/>
              <w:right w:w="28" w:type="dxa"/>
            </w:tcMar>
          </w:tcPr>
          <w:p w14:paraId="4D6DD7DF" w14:textId="77777777" w:rsidR="00666A77" w:rsidRDefault="00666A77">
            <w:pPr>
              <w:widowControl w:val="0"/>
              <w:jc w:val="center"/>
              <w:rPr>
                <w:sz w:val="22"/>
              </w:rPr>
            </w:pPr>
          </w:p>
        </w:tc>
        <w:tc>
          <w:tcPr>
            <w:tcW w:w="3828" w:type="dxa"/>
            <w:gridSpan w:val="3"/>
            <w:tcBorders>
              <w:top w:val="nil"/>
              <w:left w:val="nil"/>
              <w:bottom w:val="single" w:sz="4" w:space="0" w:color="000000"/>
              <w:right w:val="single" w:sz="4" w:space="0" w:color="000000"/>
            </w:tcBorders>
            <w:tcMar>
              <w:top w:w="0" w:type="dxa"/>
              <w:left w:w="28" w:type="dxa"/>
              <w:bottom w:w="0" w:type="dxa"/>
              <w:right w:w="28" w:type="dxa"/>
            </w:tcMar>
          </w:tcPr>
          <w:p w14:paraId="09FF5DFB" w14:textId="77777777" w:rsidR="00666A77" w:rsidRDefault="00666A77">
            <w:pPr>
              <w:widowControl w:val="0"/>
              <w:rPr>
                <w:sz w:val="22"/>
              </w:rPr>
            </w:pPr>
          </w:p>
        </w:tc>
      </w:tr>
    </w:tbl>
    <w:p w14:paraId="39E069C6" w14:textId="77777777" w:rsidR="00666A77" w:rsidRDefault="00666A77"/>
    <w:sectPr w:rsidR="00666A77">
      <w:pgSz w:w="11906" w:h="16838"/>
      <w:pgMar w:top="284" w:right="567" w:bottom="567" w:left="1134" w:header="397"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D73E2"/>
    <w:multiLevelType w:val="multilevel"/>
    <w:tmpl w:val="0AF00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77"/>
    <w:rsid w:val="00154C46"/>
    <w:rsid w:val="002A7B37"/>
    <w:rsid w:val="00537B01"/>
    <w:rsid w:val="00666A77"/>
    <w:rsid w:val="0086392E"/>
    <w:rsid w:val="008855D1"/>
    <w:rsid w:val="008F656E"/>
    <w:rsid w:val="00A6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3D73"/>
  <w15:docId w15:val="{ABC5C701-56E9-4601-81E9-69AE3E3E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0"/>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SUBST">
    <w:name w:val="__SUBST"/>
    <w:link w:val="SUBST0"/>
    <w:rPr>
      <w:b/>
      <w:i/>
    </w:rPr>
  </w:style>
  <w:style w:type="character" w:customStyle="1" w:styleId="SUBST0">
    <w:name w:val="__SUBST"/>
    <w:link w:val="SUBST"/>
    <w:rPr>
      <w:b/>
      <w: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шрифт абзаца1"/>
  </w:style>
  <w:style w:type="paragraph" w:styleId="23">
    <w:name w:val="Body Text 2"/>
    <w:basedOn w:val="a"/>
    <w:link w:val="24"/>
  </w:style>
  <w:style w:type="character" w:customStyle="1" w:styleId="24">
    <w:name w:val="Основной текст 2 Знак"/>
    <w:basedOn w:val="1"/>
    <w:link w:val="23"/>
    <w:rPr>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rilozhenieglava">
    <w:name w:val="prilozhenie glava"/>
    <w:basedOn w:val="a"/>
    <w:link w:val="prilozhenieglava0"/>
    <w:pPr>
      <w:spacing w:before="240" w:after="240"/>
      <w:jc w:val="center"/>
    </w:pPr>
    <w:rPr>
      <w:b/>
      <w:caps/>
      <w:sz w:val="24"/>
    </w:rPr>
  </w:style>
  <w:style w:type="character" w:customStyle="1" w:styleId="prilozhenieglava0">
    <w:name w:val="prilozhenie glava"/>
    <w:basedOn w:val="1"/>
    <w:link w:val="prilozhenieglava"/>
    <w:rPr>
      <w:b/>
      <w:caps/>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footer"/>
    <w:basedOn w:val="a"/>
    <w:link w:val="a6"/>
    <w:pPr>
      <w:tabs>
        <w:tab w:val="center" w:pos="4153"/>
        <w:tab w:val="right" w:pos="8306"/>
      </w:tabs>
    </w:pPr>
  </w:style>
  <w:style w:type="character" w:customStyle="1" w:styleId="a6">
    <w:name w:val="Нижний колонтитул Знак"/>
    <w:basedOn w:val="1"/>
    <w:link w:val="a5"/>
    <w:rPr>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List Paragraph"/>
    <w:basedOn w:val="a"/>
    <w:link w:val="a8"/>
    <w:pPr>
      <w:ind w:left="720"/>
      <w:contextualSpacing/>
    </w:pPr>
    <w:rPr>
      <w:sz w:val="24"/>
    </w:rPr>
  </w:style>
  <w:style w:type="character" w:customStyle="1" w:styleId="a8">
    <w:name w:val="Абзац списка Знак"/>
    <w:basedOn w:val="1"/>
    <w:link w:val="a7"/>
    <w:rPr>
      <w:sz w:val="24"/>
    </w:rPr>
  </w:style>
  <w:style w:type="paragraph" w:customStyle="1" w:styleId="25">
    <w:name w:val="Основной текст (2)"/>
    <w:basedOn w:val="a"/>
    <w:link w:val="26"/>
    <w:pPr>
      <w:widowControl w:val="0"/>
      <w:spacing w:after="300" w:line="317" w:lineRule="exact"/>
      <w:jc w:val="center"/>
    </w:pPr>
    <w:rPr>
      <w:b/>
      <w:sz w:val="27"/>
    </w:rPr>
  </w:style>
  <w:style w:type="character" w:customStyle="1" w:styleId="26">
    <w:name w:val="Основной текст (2)"/>
    <w:basedOn w:val="1"/>
    <w:link w:val="25"/>
    <w:rPr>
      <w:b/>
      <w:sz w:val="27"/>
    </w:rPr>
  </w:style>
  <w:style w:type="character" w:customStyle="1" w:styleId="50">
    <w:name w:val="Заголовок 5 Знак"/>
    <w:link w:val="5"/>
    <w:rPr>
      <w:rFonts w:ascii="XO Thames" w:hAnsi="XO Thames"/>
      <w:b/>
      <w:sz w:val="22"/>
    </w:rPr>
  </w:style>
  <w:style w:type="paragraph" w:styleId="a9">
    <w:name w:val="Body Text"/>
    <w:basedOn w:val="a"/>
    <w:link w:val="aa"/>
    <w:pPr>
      <w:spacing w:after="120"/>
    </w:pPr>
  </w:style>
  <w:style w:type="character" w:customStyle="1" w:styleId="aa">
    <w:name w:val="Основной текст Знак"/>
    <w:basedOn w:val="1"/>
    <w:link w:val="a9"/>
    <w:rPr>
      <w:sz w:val="20"/>
    </w:rPr>
  </w:style>
  <w:style w:type="paragraph" w:customStyle="1" w:styleId="prilozhenie">
    <w:name w:val="prilozhenie"/>
    <w:basedOn w:val="a"/>
    <w:link w:val="prilozhenie0"/>
    <w:pPr>
      <w:ind w:firstLine="709"/>
      <w:jc w:val="both"/>
    </w:pPr>
    <w:rPr>
      <w:sz w:val="24"/>
    </w:rPr>
  </w:style>
  <w:style w:type="character" w:customStyle="1" w:styleId="prilozhenie0">
    <w:name w:val="prilozhenie"/>
    <w:basedOn w:val="1"/>
    <w:link w:val="prilozhenie"/>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b"/>
    <w:rPr>
      <w:color w:val="0000FF"/>
      <w:u w:val="single"/>
    </w:rPr>
  </w:style>
  <w:style w:type="character" w:styleId="ab">
    <w:name w:val="Hyperlink"/>
    <w:basedOn w:val="a0"/>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ac">
    <w:name w:val="Знак"/>
    <w:basedOn w:val="a"/>
    <w:link w:val="ad"/>
    <w:pPr>
      <w:spacing w:after="160"/>
    </w:pPr>
    <w:rPr>
      <w:rFonts w:ascii="Arial" w:hAnsi="Arial"/>
      <w:b/>
      <w:color w:val="FFFFFF"/>
      <w:sz w:val="32"/>
    </w:rPr>
  </w:style>
  <w:style w:type="character" w:customStyle="1" w:styleId="ad">
    <w:name w:val="Знак"/>
    <w:basedOn w:val="1"/>
    <w:link w:val="ac"/>
    <w:rPr>
      <w:rFonts w:ascii="Arial" w:hAnsi="Arial"/>
      <w:b/>
      <w:color w:val="FFFFFF"/>
      <w:sz w:val="32"/>
    </w:rPr>
  </w:style>
  <w:style w:type="paragraph" w:styleId="ae">
    <w:name w:val="header"/>
    <w:basedOn w:val="a"/>
    <w:link w:val="af"/>
    <w:pPr>
      <w:tabs>
        <w:tab w:val="center" w:pos="4153"/>
        <w:tab w:val="right" w:pos="8306"/>
      </w:tabs>
    </w:pPr>
  </w:style>
  <w:style w:type="character" w:customStyle="1" w:styleId="af">
    <w:name w:val="Верхний колонтитул Знак"/>
    <w:basedOn w:val="1"/>
    <w:link w:val="ae"/>
    <w:rPr>
      <w:sz w:val="20"/>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Body Text Indent"/>
    <w:basedOn w:val="a"/>
    <w:link w:val="af3"/>
    <w:pPr>
      <w:spacing w:after="120"/>
      <w:ind w:left="283"/>
    </w:pPr>
  </w:style>
  <w:style w:type="character" w:customStyle="1" w:styleId="af3">
    <w:name w:val="Основной текст с отступом Знак"/>
    <w:basedOn w:val="1"/>
    <w:link w:val="af2"/>
    <w:rPr>
      <w:sz w:val="20"/>
    </w:rPr>
  </w:style>
  <w:style w:type="paragraph" w:customStyle="1" w:styleId="16">
    <w:name w:val="Основной текст1"/>
    <w:basedOn w:val="a"/>
    <w:link w:val="17"/>
    <w:pPr>
      <w:widowControl w:val="0"/>
      <w:spacing w:line="317" w:lineRule="exact"/>
      <w:jc w:val="both"/>
    </w:pPr>
    <w:rPr>
      <w:sz w:val="27"/>
    </w:rPr>
  </w:style>
  <w:style w:type="character" w:customStyle="1" w:styleId="17">
    <w:name w:val="Основной текст1"/>
    <w:basedOn w:val="1"/>
    <w:link w:val="16"/>
    <w:rPr>
      <w:sz w:val="27"/>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HTML1">
    <w:name w:val="Пишущая машинка HTML1"/>
    <w:basedOn w:val="12"/>
    <w:link w:val="HTML"/>
    <w:rPr>
      <w:rFonts w:ascii="Courier New" w:hAnsi="Courier New"/>
      <w:sz w:val="20"/>
    </w:rPr>
  </w:style>
  <w:style w:type="character" w:styleId="HTML">
    <w:name w:val="HTML Typewriter"/>
    <w:basedOn w:val="a0"/>
    <w:link w:val="HTML1"/>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neft.ru/" TargetMode="External"/><Relationship Id="rId5" Type="http://schemas.openxmlformats.org/officeDocument/2006/relationships/hyperlink" Target="http://www.e-disclosure.ru/portal/company.aspx?id=5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2386</Characters>
  <Application>Microsoft Office Word</Application>
  <DocSecurity>4</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RussNeft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Вячин Артем Витальевич</dc:creator>
  <cp:lastModifiedBy>Татевосова Мария Рудольфовна</cp:lastModifiedBy>
  <cp:revision>2</cp:revision>
  <dcterms:created xsi:type="dcterms:W3CDTF">2024-11-07T08:27:00Z</dcterms:created>
  <dcterms:modified xsi:type="dcterms:W3CDTF">2024-11-07T08:27:00Z</dcterms:modified>
</cp:coreProperties>
</file>