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8F9" w:rsidRPr="00692AB6" w:rsidRDefault="00FB1CBF" w:rsidP="000E40F4">
      <w:pPr>
        <w:jc w:val="center"/>
        <w:rPr>
          <w:rFonts w:ascii="Arial" w:hAnsi="Arial" w:cs="Arial"/>
          <w:b/>
          <w:sz w:val="28"/>
          <w:szCs w:val="28"/>
        </w:rPr>
      </w:pPr>
      <w:bookmarkStart w:id="0" w:name="_GoBack"/>
      <w:bookmarkEnd w:id="0"/>
      <w:r w:rsidRPr="00692AB6">
        <w:rPr>
          <w:rFonts w:ascii="Arial" w:hAnsi="Arial" w:cs="Arial"/>
          <w:b/>
          <w:noProof/>
          <w:sz w:val="28"/>
          <w:szCs w:val="28"/>
          <w:lang w:eastAsia="ru-RU"/>
        </w:rPr>
        <w:drawing>
          <wp:inline distT="0" distB="0" distL="0" distR="0">
            <wp:extent cx="2441275" cy="1216619"/>
            <wp:effectExtent l="0" t="0" r="0" b="3175"/>
            <wp:docPr id="2" name="Рисунок 2" descr="\\hq\dfs\home\vyachinav\Мои документы\My Pictures\Фотогалерея\RussNef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q\dfs\home\vyachinav\Мои документы\My Pictures\Фотогалерея\RussNeft.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3501" cy="1232679"/>
                    </a:xfrm>
                    <a:prstGeom prst="rect">
                      <a:avLst/>
                    </a:prstGeom>
                    <a:noFill/>
                    <a:ln>
                      <a:noFill/>
                    </a:ln>
                  </pic:spPr>
                </pic:pic>
              </a:graphicData>
            </a:graphic>
          </wp:inline>
        </w:drawing>
      </w:r>
    </w:p>
    <w:p w:rsidR="002948F9" w:rsidRPr="00692AB6" w:rsidRDefault="002948F9" w:rsidP="000E40F4">
      <w:pPr>
        <w:jc w:val="center"/>
        <w:rPr>
          <w:rFonts w:ascii="Arial" w:hAnsi="Arial" w:cs="Arial"/>
          <w:b/>
          <w:sz w:val="28"/>
          <w:szCs w:val="28"/>
          <w:lang w:val="en-US"/>
        </w:rPr>
      </w:pPr>
    </w:p>
    <w:p w:rsidR="002948F9" w:rsidRPr="00FB1CBF" w:rsidRDefault="00FB1CBF" w:rsidP="000E40F4">
      <w:pPr>
        <w:jc w:val="center"/>
        <w:rPr>
          <w:rFonts w:ascii="Arial" w:hAnsi="Arial" w:cs="Arial"/>
          <w:b/>
          <w:sz w:val="28"/>
          <w:szCs w:val="28"/>
          <w:lang w:val="en-US"/>
        </w:rPr>
      </w:pPr>
      <w:r>
        <w:rPr>
          <w:rFonts w:ascii="Arial" w:hAnsi="Arial" w:cs="Arial"/>
          <w:b/>
          <w:sz w:val="28"/>
          <w:szCs w:val="28"/>
          <w:lang w:val="en-US"/>
        </w:rPr>
        <w:t>March 28, 2018</w:t>
      </w:r>
    </w:p>
    <w:p w:rsidR="00634114" w:rsidRPr="00FB1CBF" w:rsidRDefault="00634114" w:rsidP="000E40F4">
      <w:pPr>
        <w:jc w:val="center"/>
        <w:rPr>
          <w:rFonts w:ascii="Arial" w:hAnsi="Arial" w:cs="Arial"/>
          <w:b/>
          <w:sz w:val="28"/>
          <w:szCs w:val="28"/>
          <w:lang w:val="en-US"/>
        </w:rPr>
      </w:pPr>
    </w:p>
    <w:p w:rsidR="00F07260" w:rsidRPr="00FB1CBF" w:rsidRDefault="00FB1CBF" w:rsidP="00F07260">
      <w:pPr>
        <w:jc w:val="center"/>
        <w:rPr>
          <w:rFonts w:ascii="Arial" w:hAnsi="Arial" w:cs="Arial"/>
          <w:b/>
          <w:sz w:val="28"/>
          <w:szCs w:val="28"/>
          <w:lang w:val="en-US"/>
        </w:rPr>
      </w:pPr>
      <w:r>
        <w:rPr>
          <w:rFonts w:ascii="Arial" w:hAnsi="Arial" w:cs="Arial"/>
          <w:b/>
          <w:sz w:val="28"/>
          <w:szCs w:val="28"/>
          <w:lang w:val="en-US"/>
        </w:rPr>
        <w:t>PJSC “RussNeft” publishes 2017 financial results under IFRS</w:t>
      </w:r>
    </w:p>
    <w:p w:rsidR="00634114" w:rsidRPr="00FB1CBF" w:rsidRDefault="00634114" w:rsidP="00F07260">
      <w:pPr>
        <w:jc w:val="center"/>
        <w:rPr>
          <w:rFonts w:ascii="Arial" w:hAnsi="Arial" w:cs="Arial"/>
          <w:b/>
          <w:sz w:val="28"/>
          <w:szCs w:val="28"/>
          <w:lang w:val="en-US"/>
        </w:rPr>
      </w:pPr>
    </w:p>
    <w:p w:rsidR="00FB1CBF" w:rsidRPr="00FB1CBF" w:rsidRDefault="00FB1CBF" w:rsidP="00FB1CBF">
      <w:pPr>
        <w:spacing w:line="360" w:lineRule="auto"/>
        <w:jc w:val="both"/>
        <w:rPr>
          <w:rFonts w:ascii="Arial" w:hAnsi="Arial" w:cs="Arial"/>
          <w:sz w:val="24"/>
          <w:szCs w:val="28"/>
          <w:lang w:val="en-US"/>
        </w:rPr>
      </w:pPr>
      <w:r>
        <w:rPr>
          <w:rFonts w:ascii="Arial" w:hAnsi="Arial" w:cs="Arial"/>
          <w:sz w:val="24"/>
          <w:szCs w:val="28"/>
          <w:lang w:val="en-US"/>
        </w:rPr>
        <w:t xml:space="preserve">PJSC “RussNeft” (“RussNeft” or “Company”) </w:t>
      </w:r>
      <w:r w:rsidRPr="00FB1CBF">
        <w:rPr>
          <w:rFonts w:ascii="Arial" w:hAnsi="Arial" w:cs="Arial"/>
          <w:sz w:val="24"/>
          <w:szCs w:val="28"/>
          <w:lang w:val="en-US"/>
        </w:rPr>
        <w:t>(MOEX: RNFT),</w:t>
      </w:r>
      <w:r>
        <w:rPr>
          <w:rFonts w:ascii="Arial" w:hAnsi="Arial" w:cs="Arial"/>
          <w:sz w:val="24"/>
          <w:szCs w:val="28"/>
          <w:lang w:val="en-US"/>
        </w:rPr>
        <w:t xml:space="preserve"> one of the </w:t>
      </w:r>
      <w:r w:rsidR="00BE2DBB">
        <w:rPr>
          <w:rFonts w:ascii="Arial" w:hAnsi="Arial" w:cs="Arial"/>
          <w:sz w:val="24"/>
          <w:szCs w:val="28"/>
          <w:lang w:val="en-US"/>
        </w:rPr>
        <w:t>largest</w:t>
      </w:r>
      <w:r>
        <w:rPr>
          <w:rFonts w:ascii="Arial" w:hAnsi="Arial" w:cs="Arial"/>
          <w:sz w:val="24"/>
          <w:szCs w:val="28"/>
          <w:lang w:val="en-US"/>
        </w:rPr>
        <w:t xml:space="preserve"> oil companies in Russia by oil production, publishes its audited consolidated financial statement for the year, ended on December 31, 2017, prepared in accordance with the International Financial Reporting Standards (IFRS).</w:t>
      </w:r>
    </w:p>
    <w:p w:rsidR="00634114" w:rsidRPr="00FB1CBF" w:rsidRDefault="00634114" w:rsidP="00634114">
      <w:pPr>
        <w:spacing w:line="360" w:lineRule="auto"/>
        <w:jc w:val="both"/>
        <w:rPr>
          <w:rFonts w:ascii="Arial" w:hAnsi="Arial" w:cs="Arial"/>
          <w:sz w:val="24"/>
          <w:szCs w:val="28"/>
          <w:lang w:val="en-US"/>
        </w:rPr>
      </w:pPr>
    </w:p>
    <w:p w:rsidR="00E0209C" w:rsidRPr="006520EA" w:rsidRDefault="00FB1CBF" w:rsidP="00634114">
      <w:pPr>
        <w:spacing w:line="360" w:lineRule="auto"/>
        <w:jc w:val="both"/>
        <w:rPr>
          <w:rFonts w:ascii="Arial" w:hAnsi="Arial" w:cs="Arial"/>
          <w:b/>
          <w:sz w:val="28"/>
          <w:szCs w:val="28"/>
        </w:rPr>
      </w:pPr>
      <w:r>
        <w:rPr>
          <w:rFonts w:ascii="Arial" w:hAnsi="Arial" w:cs="Arial"/>
          <w:b/>
          <w:sz w:val="28"/>
          <w:szCs w:val="28"/>
          <w:lang w:val="en-US"/>
        </w:rPr>
        <w:t>Key events</w:t>
      </w:r>
      <w:r w:rsidR="00E0209C" w:rsidRPr="006520EA">
        <w:rPr>
          <w:rFonts w:ascii="Arial" w:hAnsi="Arial" w:cs="Arial"/>
          <w:b/>
          <w:sz w:val="28"/>
          <w:szCs w:val="28"/>
        </w:rPr>
        <w:t>:</w:t>
      </w:r>
    </w:p>
    <w:p w:rsidR="00FB1CBF" w:rsidRPr="00FB1CBF" w:rsidRDefault="00FB1CBF" w:rsidP="00184054">
      <w:pPr>
        <w:pStyle w:val="a8"/>
        <w:numPr>
          <w:ilvl w:val="0"/>
          <w:numId w:val="4"/>
        </w:numPr>
        <w:spacing w:line="360" w:lineRule="auto"/>
        <w:jc w:val="both"/>
        <w:rPr>
          <w:rFonts w:ascii="Arial" w:hAnsi="Arial" w:cs="Arial"/>
          <w:sz w:val="24"/>
          <w:szCs w:val="28"/>
          <w:lang w:val="en-US"/>
        </w:rPr>
      </w:pPr>
      <w:r>
        <w:rPr>
          <w:rFonts w:ascii="Arial" w:hAnsi="Arial" w:cs="Arial"/>
          <w:sz w:val="24"/>
          <w:szCs w:val="28"/>
          <w:lang w:val="en-US"/>
        </w:rPr>
        <w:t xml:space="preserve">EBITDA grew 18% up to RUB 29.9 </w:t>
      </w:r>
      <w:r w:rsidR="00822ED1" w:rsidRPr="00822ED1">
        <w:rPr>
          <w:rFonts w:ascii="Arial" w:hAnsi="Arial" w:cs="Arial"/>
          <w:sz w:val="24"/>
          <w:szCs w:val="28"/>
          <w:lang w:val="en-US"/>
        </w:rPr>
        <w:t>billion</w:t>
      </w:r>
      <w:r w:rsidR="00822ED1">
        <w:rPr>
          <w:rFonts w:ascii="Arial" w:hAnsi="Arial" w:cs="Arial"/>
          <w:sz w:val="24"/>
          <w:szCs w:val="28"/>
          <w:lang w:val="en-US"/>
        </w:rPr>
        <w:t xml:space="preserve"> </w:t>
      </w:r>
      <w:r>
        <w:rPr>
          <w:rFonts w:ascii="Arial" w:hAnsi="Arial" w:cs="Arial"/>
          <w:sz w:val="24"/>
          <w:szCs w:val="28"/>
          <w:lang w:val="en-US"/>
        </w:rPr>
        <w:t>in 2017.</w:t>
      </w:r>
    </w:p>
    <w:p w:rsidR="00DB059E" w:rsidRPr="00FB1CBF" w:rsidRDefault="00FB1CBF" w:rsidP="00184054">
      <w:pPr>
        <w:pStyle w:val="a8"/>
        <w:numPr>
          <w:ilvl w:val="0"/>
          <w:numId w:val="4"/>
        </w:numPr>
        <w:spacing w:line="360" w:lineRule="auto"/>
        <w:jc w:val="both"/>
        <w:rPr>
          <w:rFonts w:ascii="Arial" w:hAnsi="Arial" w:cs="Arial"/>
          <w:sz w:val="24"/>
          <w:szCs w:val="28"/>
          <w:lang w:val="en-US"/>
        </w:rPr>
      </w:pPr>
      <w:r>
        <w:rPr>
          <w:rFonts w:ascii="Arial" w:hAnsi="Arial" w:cs="Arial"/>
          <w:sz w:val="24"/>
          <w:szCs w:val="28"/>
          <w:lang w:val="en-US"/>
        </w:rPr>
        <w:t>The</w:t>
      </w:r>
      <w:r w:rsidRPr="00FB1CBF">
        <w:rPr>
          <w:rFonts w:ascii="Arial" w:hAnsi="Arial" w:cs="Arial"/>
          <w:sz w:val="24"/>
          <w:szCs w:val="28"/>
          <w:lang w:val="en-US"/>
        </w:rPr>
        <w:t xml:space="preserve"> </w:t>
      </w:r>
      <w:r>
        <w:rPr>
          <w:rFonts w:ascii="Arial" w:hAnsi="Arial" w:cs="Arial"/>
          <w:sz w:val="24"/>
          <w:szCs w:val="28"/>
          <w:lang w:val="en-US"/>
        </w:rPr>
        <w:t>adjusted</w:t>
      </w:r>
      <w:r w:rsidRPr="00FB1CBF">
        <w:rPr>
          <w:rFonts w:ascii="Arial" w:hAnsi="Arial" w:cs="Arial"/>
          <w:sz w:val="24"/>
          <w:szCs w:val="28"/>
          <w:lang w:val="en-US"/>
        </w:rPr>
        <w:t xml:space="preserve"> </w:t>
      </w:r>
      <w:r>
        <w:rPr>
          <w:rFonts w:ascii="Arial" w:hAnsi="Arial" w:cs="Arial"/>
          <w:sz w:val="24"/>
          <w:szCs w:val="28"/>
          <w:lang w:val="en-US"/>
        </w:rPr>
        <w:t>net</w:t>
      </w:r>
      <w:r w:rsidRPr="00FB1CBF">
        <w:rPr>
          <w:rFonts w:ascii="Arial" w:hAnsi="Arial" w:cs="Arial"/>
          <w:sz w:val="24"/>
          <w:szCs w:val="28"/>
          <w:lang w:val="en-US"/>
        </w:rPr>
        <w:t xml:space="preserve"> </w:t>
      </w:r>
      <w:r>
        <w:rPr>
          <w:rFonts w:ascii="Arial" w:hAnsi="Arial" w:cs="Arial"/>
          <w:sz w:val="24"/>
          <w:szCs w:val="28"/>
          <w:lang w:val="en-US"/>
        </w:rPr>
        <w:t>profit</w:t>
      </w:r>
      <w:r w:rsidR="004465C6">
        <w:rPr>
          <w:rStyle w:val="a7"/>
          <w:rFonts w:ascii="Arial" w:hAnsi="Arial" w:cs="Arial"/>
          <w:sz w:val="24"/>
          <w:szCs w:val="28"/>
        </w:rPr>
        <w:footnoteReference w:id="1"/>
      </w:r>
      <w:r w:rsidR="00DB059E" w:rsidRPr="00FB1CBF">
        <w:rPr>
          <w:rFonts w:ascii="Arial" w:hAnsi="Arial" w:cs="Arial"/>
          <w:sz w:val="24"/>
          <w:szCs w:val="28"/>
          <w:lang w:val="en-US"/>
        </w:rPr>
        <w:t xml:space="preserve"> </w:t>
      </w:r>
      <w:r>
        <w:rPr>
          <w:rFonts w:ascii="Arial" w:hAnsi="Arial" w:cs="Arial"/>
          <w:sz w:val="24"/>
          <w:szCs w:val="28"/>
          <w:lang w:val="en-US"/>
        </w:rPr>
        <w:t>amounted to RUB</w:t>
      </w:r>
      <w:r w:rsidR="00DB059E" w:rsidRPr="00FB1CBF">
        <w:rPr>
          <w:rFonts w:ascii="Arial" w:hAnsi="Arial" w:cs="Arial"/>
          <w:sz w:val="24"/>
          <w:szCs w:val="28"/>
          <w:lang w:val="en-US"/>
        </w:rPr>
        <w:t xml:space="preserve"> 11</w:t>
      </w:r>
      <w:r>
        <w:rPr>
          <w:rFonts w:ascii="Arial" w:hAnsi="Arial" w:cs="Arial"/>
          <w:sz w:val="24"/>
          <w:szCs w:val="28"/>
          <w:lang w:val="en-US"/>
        </w:rPr>
        <w:t>.</w:t>
      </w:r>
      <w:r w:rsidR="00113572" w:rsidRPr="00FB1CBF">
        <w:rPr>
          <w:rFonts w:ascii="Arial" w:hAnsi="Arial" w:cs="Arial"/>
          <w:sz w:val="24"/>
          <w:szCs w:val="28"/>
          <w:lang w:val="en-US"/>
        </w:rPr>
        <w:t>1</w:t>
      </w:r>
      <w:r w:rsidR="00DB059E" w:rsidRPr="00FB1CBF">
        <w:rPr>
          <w:rFonts w:ascii="Arial" w:hAnsi="Arial" w:cs="Arial"/>
          <w:sz w:val="24"/>
          <w:szCs w:val="28"/>
          <w:lang w:val="en-US"/>
        </w:rPr>
        <w:t xml:space="preserve"> </w:t>
      </w:r>
      <w:r w:rsidR="00822ED1" w:rsidRPr="00822ED1">
        <w:rPr>
          <w:rFonts w:ascii="Arial" w:hAnsi="Arial" w:cs="Arial"/>
          <w:sz w:val="24"/>
          <w:szCs w:val="28"/>
          <w:lang w:val="en-US"/>
        </w:rPr>
        <w:t>billion</w:t>
      </w:r>
      <w:r w:rsidR="00DB059E" w:rsidRPr="00FB1CBF">
        <w:rPr>
          <w:rFonts w:ascii="Arial" w:hAnsi="Arial" w:cs="Arial"/>
          <w:sz w:val="24"/>
          <w:szCs w:val="28"/>
          <w:lang w:val="en-US"/>
        </w:rPr>
        <w:t xml:space="preserve">, </w:t>
      </w:r>
      <w:r w:rsidR="004465C6" w:rsidRPr="00FB1CBF">
        <w:rPr>
          <w:rFonts w:ascii="Arial" w:hAnsi="Arial" w:cs="Arial"/>
          <w:sz w:val="24"/>
          <w:szCs w:val="28"/>
          <w:lang w:val="en-US"/>
        </w:rPr>
        <w:t>333</w:t>
      </w:r>
      <w:r w:rsidR="00DB059E" w:rsidRPr="00FB1CBF">
        <w:rPr>
          <w:rFonts w:ascii="Arial" w:hAnsi="Arial" w:cs="Arial"/>
          <w:sz w:val="24"/>
          <w:szCs w:val="28"/>
          <w:lang w:val="en-US"/>
        </w:rPr>
        <w:t>%</w:t>
      </w:r>
      <w:r w:rsidR="00692AB6">
        <w:rPr>
          <w:rFonts w:ascii="Arial" w:hAnsi="Arial" w:cs="Arial"/>
          <w:sz w:val="24"/>
          <w:szCs w:val="28"/>
          <w:lang w:val="en-US"/>
        </w:rPr>
        <w:t xml:space="preserve"> growth</w:t>
      </w:r>
      <w:r w:rsidR="00DB059E" w:rsidRPr="00FB1CBF">
        <w:rPr>
          <w:rFonts w:ascii="Arial" w:hAnsi="Arial" w:cs="Arial"/>
          <w:sz w:val="24"/>
          <w:szCs w:val="28"/>
          <w:lang w:val="en-US"/>
        </w:rPr>
        <w:t>.</w:t>
      </w:r>
    </w:p>
    <w:p w:rsidR="00D06BC7" w:rsidRPr="00692AB6" w:rsidRDefault="00692AB6" w:rsidP="00184054">
      <w:pPr>
        <w:pStyle w:val="a8"/>
        <w:numPr>
          <w:ilvl w:val="0"/>
          <w:numId w:val="4"/>
        </w:numPr>
        <w:spacing w:line="360" w:lineRule="auto"/>
        <w:jc w:val="both"/>
        <w:rPr>
          <w:rFonts w:ascii="Arial" w:hAnsi="Arial" w:cs="Arial"/>
          <w:sz w:val="24"/>
          <w:szCs w:val="28"/>
          <w:lang w:val="en-US"/>
        </w:rPr>
      </w:pPr>
      <w:r>
        <w:rPr>
          <w:rFonts w:ascii="Arial" w:hAnsi="Arial" w:cs="Arial"/>
          <w:sz w:val="24"/>
          <w:szCs w:val="28"/>
          <w:lang w:val="en-US"/>
        </w:rPr>
        <w:t>The oil production was</w:t>
      </w:r>
      <w:r w:rsidR="00D06BC7" w:rsidRPr="00692AB6">
        <w:rPr>
          <w:rFonts w:ascii="Arial" w:hAnsi="Arial" w:cs="Arial"/>
          <w:sz w:val="24"/>
          <w:szCs w:val="28"/>
          <w:lang w:val="en-US"/>
        </w:rPr>
        <w:t xml:space="preserve"> 7</w:t>
      </w:r>
      <w:r>
        <w:rPr>
          <w:rFonts w:ascii="Arial" w:hAnsi="Arial" w:cs="Arial"/>
          <w:sz w:val="24"/>
          <w:szCs w:val="28"/>
          <w:lang w:val="en-US"/>
        </w:rPr>
        <w:t>.</w:t>
      </w:r>
      <w:r w:rsidR="00D06BC7" w:rsidRPr="00692AB6">
        <w:rPr>
          <w:rFonts w:ascii="Arial" w:hAnsi="Arial" w:cs="Arial"/>
          <w:sz w:val="24"/>
          <w:szCs w:val="28"/>
          <w:lang w:val="en-US"/>
        </w:rPr>
        <w:t>5</w:t>
      </w:r>
      <w:r w:rsidR="00634114">
        <w:rPr>
          <w:rStyle w:val="a7"/>
          <w:rFonts w:ascii="Arial" w:hAnsi="Arial" w:cs="Arial"/>
          <w:sz w:val="24"/>
          <w:szCs w:val="28"/>
        </w:rPr>
        <w:footnoteReference w:id="2"/>
      </w:r>
      <w:r w:rsidR="00D06BC7" w:rsidRPr="00692AB6">
        <w:rPr>
          <w:rFonts w:ascii="Arial" w:hAnsi="Arial" w:cs="Arial"/>
          <w:sz w:val="24"/>
          <w:szCs w:val="28"/>
          <w:lang w:val="en-US"/>
        </w:rPr>
        <w:t xml:space="preserve"> </w:t>
      </w:r>
      <w:r w:rsidR="00822ED1">
        <w:rPr>
          <w:rFonts w:ascii="Arial" w:hAnsi="Arial" w:cs="Arial"/>
          <w:sz w:val="24"/>
          <w:szCs w:val="28"/>
          <w:lang w:val="en-US"/>
        </w:rPr>
        <w:t>million</w:t>
      </w:r>
      <w:r>
        <w:rPr>
          <w:rFonts w:ascii="Arial" w:hAnsi="Arial" w:cs="Arial"/>
          <w:sz w:val="24"/>
          <w:szCs w:val="28"/>
          <w:lang w:val="en-US"/>
        </w:rPr>
        <w:t xml:space="preserve"> tonnes.</w:t>
      </w:r>
    </w:p>
    <w:p w:rsidR="00DB58B8" w:rsidRPr="00692AB6" w:rsidRDefault="00692AB6" w:rsidP="00184054">
      <w:pPr>
        <w:pStyle w:val="a8"/>
        <w:numPr>
          <w:ilvl w:val="0"/>
          <w:numId w:val="4"/>
        </w:numPr>
        <w:spacing w:line="360" w:lineRule="auto"/>
        <w:jc w:val="both"/>
        <w:rPr>
          <w:rFonts w:ascii="Arial" w:hAnsi="Arial" w:cs="Arial"/>
          <w:sz w:val="24"/>
          <w:szCs w:val="28"/>
          <w:lang w:val="en-US"/>
        </w:rPr>
      </w:pPr>
      <w:r>
        <w:rPr>
          <w:rFonts w:ascii="Arial" w:hAnsi="Arial" w:cs="Arial"/>
          <w:sz w:val="24"/>
          <w:szCs w:val="28"/>
          <w:lang w:val="en-US"/>
        </w:rPr>
        <w:t>High-margin oil production grew to up to 34% of the total volume</w:t>
      </w:r>
      <w:r w:rsidR="00184054" w:rsidRPr="00692AB6">
        <w:rPr>
          <w:rFonts w:ascii="Arial" w:hAnsi="Arial" w:cs="Arial"/>
          <w:sz w:val="24"/>
          <w:szCs w:val="28"/>
          <w:lang w:val="en-US"/>
        </w:rPr>
        <w:t>.</w:t>
      </w:r>
    </w:p>
    <w:p w:rsidR="00692AB6" w:rsidRPr="00692AB6" w:rsidRDefault="00692AB6" w:rsidP="00184054">
      <w:pPr>
        <w:pStyle w:val="a8"/>
        <w:numPr>
          <w:ilvl w:val="0"/>
          <w:numId w:val="4"/>
        </w:numPr>
        <w:spacing w:line="360" w:lineRule="auto"/>
        <w:jc w:val="both"/>
        <w:rPr>
          <w:rFonts w:ascii="Arial" w:hAnsi="Arial" w:cs="Arial"/>
          <w:sz w:val="24"/>
          <w:szCs w:val="28"/>
          <w:lang w:val="en-US"/>
        </w:rPr>
      </w:pPr>
      <w:r>
        <w:rPr>
          <w:rFonts w:ascii="Arial" w:hAnsi="Arial" w:cs="Arial"/>
          <w:sz w:val="24"/>
          <w:szCs w:val="28"/>
          <w:lang w:val="en-US"/>
        </w:rPr>
        <w:t xml:space="preserve">Consistent increase of the capital investments, the 2017 investments amounted to RUB 25.7 </w:t>
      </w:r>
      <w:r w:rsidR="00822ED1" w:rsidRPr="00822ED1">
        <w:rPr>
          <w:rFonts w:ascii="Arial" w:hAnsi="Arial" w:cs="Arial"/>
          <w:sz w:val="24"/>
          <w:szCs w:val="28"/>
          <w:lang w:val="en-US"/>
        </w:rPr>
        <w:t>billion</w:t>
      </w:r>
      <w:r>
        <w:rPr>
          <w:rFonts w:ascii="Arial" w:hAnsi="Arial" w:cs="Arial"/>
          <w:sz w:val="24"/>
          <w:szCs w:val="28"/>
          <w:lang w:val="en-US"/>
        </w:rPr>
        <w:t>.</w:t>
      </w:r>
    </w:p>
    <w:p w:rsidR="00003A20" w:rsidRDefault="00692AB6" w:rsidP="00184054">
      <w:pPr>
        <w:pStyle w:val="a8"/>
        <w:numPr>
          <w:ilvl w:val="0"/>
          <w:numId w:val="4"/>
        </w:numPr>
        <w:spacing w:line="360" w:lineRule="auto"/>
        <w:jc w:val="both"/>
        <w:rPr>
          <w:rFonts w:ascii="Arial" w:hAnsi="Arial" w:cs="Arial"/>
          <w:sz w:val="24"/>
          <w:szCs w:val="28"/>
          <w:lang w:val="en-US"/>
        </w:rPr>
      </w:pPr>
      <w:r>
        <w:rPr>
          <w:rFonts w:ascii="Arial" w:hAnsi="Arial" w:cs="Arial"/>
          <w:sz w:val="24"/>
          <w:szCs w:val="28"/>
          <w:lang w:val="en-US"/>
        </w:rPr>
        <w:t>The Company’s securities were included into the main indices of the Moscow Exchange.</w:t>
      </w:r>
    </w:p>
    <w:p w:rsidR="00692AB6" w:rsidRDefault="00692AB6" w:rsidP="00DB58B8">
      <w:pPr>
        <w:pStyle w:val="a8"/>
        <w:numPr>
          <w:ilvl w:val="0"/>
          <w:numId w:val="4"/>
        </w:numPr>
        <w:spacing w:line="360" w:lineRule="auto"/>
        <w:jc w:val="both"/>
        <w:rPr>
          <w:rFonts w:ascii="Arial" w:hAnsi="Arial" w:cs="Arial"/>
          <w:sz w:val="24"/>
          <w:szCs w:val="28"/>
          <w:lang w:val="en-US"/>
        </w:rPr>
      </w:pPr>
      <w:r>
        <w:rPr>
          <w:rFonts w:ascii="Arial" w:hAnsi="Arial" w:cs="Arial"/>
          <w:sz w:val="24"/>
          <w:szCs w:val="28"/>
          <w:lang w:val="en-US"/>
        </w:rPr>
        <w:t>The Net Debt/EBITDA ratio was 2.7.</w:t>
      </w:r>
    </w:p>
    <w:p w:rsidR="00DB58B8" w:rsidRPr="00822ED1" w:rsidRDefault="00692AB6" w:rsidP="00822ED1">
      <w:pPr>
        <w:rPr>
          <w:rFonts w:ascii="Arial" w:hAnsi="Arial" w:cs="Arial"/>
          <w:sz w:val="24"/>
          <w:szCs w:val="28"/>
          <w:lang w:val="en-US"/>
        </w:rPr>
      </w:pPr>
      <w:r>
        <w:rPr>
          <w:rFonts w:ascii="Arial" w:hAnsi="Arial" w:cs="Arial"/>
          <w:sz w:val="24"/>
          <w:szCs w:val="28"/>
          <w:lang w:val="en-US"/>
        </w:rPr>
        <w:br w:type="page"/>
      </w:r>
    </w:p>
    <w:p w:rsidR="000E40F4" w:rsidRPr="00822ED1" w:rsidRDefault="00822ED1" w:rsidP="00271BFD">
      <w:pPr>
        <w:spacing w:line="360" w:lineRule="auto"/>
        <w:jc w:val="center"/>
        <w:rPr>
          <w:rFonts w:ascii="Arial" w:hAnsi="Arial" w:cs="Arial"/>
          <w:b/>
          <w:sz w:val="28"/>
          <w:szCs w:val="28"/>
          <w:lang w:val="en-US"/>
        </w:rPr>
      </w:pPr>
      <w:r>
        <w:rPr>
          <w:rFonts w:ascii="Arial" w:hAnsi="Arial" w:cs="Arial"/>
          <w:b/>
          <w:sz w:val="28"/>
          <w:szCs w:val="28"/>
          <w:lang w:val="en-US"/>
        </w:rPr>
        <w:lastRenderedPageBreak/>
        <w:t>Key performance results</w:t>
      </w:r>
    </w:p>
    <w:p w:rsidR="00634114" w:rsidRPr="00822ED1" w:rsidRDefault="00822ED1" w:rsidP="00887FA6">
      <w:pPr>
        <w:tabs>
          <w:tab w:val="left" w:pos="8627"/>
        </w:tabs>
        <w:spacing w:line="360" w:lineRule="auto"/>
        <w:jc w:val="both"/>
        <w:rPr>
          <w:rFonts w:ascii="Arial" w:hAnsi="Arial" w:cs="Arial"/>
          <w:b/>
          <w:sz w:val="28"/>
          <w:szCs w:val="28"/>
          <w:lang w:val="en-US"/>
        </w:rPr>
      </w:pPr>
      <w:r>
        <w:rPr>
          <w:rFonts w:ascii="Arial" w:hAnsi="Arial" w:cs="Arial"/>
          <w:b/>
          <w:sz w:val="28"/>
          <w:szCs w:val="28"/>
          <w:lang w:val="en-US"/>
        </w:rPr>
        <w:t>Financial indicators</w:t>
      </w:r>
    </w:p>
    <w:tbl>
      <w:tblPr>
        <w:tblW w:w="8960" w:type="dxa"/>
        <w:tblLook w:val="04A0" w:firstRow="1" w:lastRow="0" w:firstColumn="1" w:lastColumn="0" w:noHBand="0" w:noVBand="1"/>
      </w:tblPr>
      <w:tblGrid>
        <w:gridCol w:w="5140"/>
        <w:gridCol w:w="1120"/>
        <w:gridCol w:w="1160"/>
        <w:gridCol w:w="1540"/>
      </w:tblGrid>
      <w:tr w:rsidR="00634114" w:rsidRPr="00634114" w:rsidTr="00634114">
        <w:trPr>
          <w:trHeight w:val="330"/>
        </w:trPr>
        <w:tc>
          <w:tcPr>
            <w:tcW w:w="5140" w:type="dxa"/>
            <w:tcBorders>
              <w:top w:val="nil"/>
              <w:left w:val="nil"/>
              <w:bottom w:val="single" w:sz="12" w:space="0" w:color="auto"/>
              <w:right w:val="nil"/>
            </w:tcBorders>
            <w:shd w:val="clear" w:color="auto" w:fill="auto"/>
            <w:vAlign w:val="center"/>
            <w:hideMark/>
          </w:tcPr>
          <w:p w:rsidR="00634114" w:rsidRPr="00822ED1" w:rsidRDefault="00822ED1" w:rsidP="00634114">
            <w:pPr>
              <w:spacing w:after="0" w:line="240" w:lineRule="auto"/>
              <w:rPr>
                <w:rFonts w:ascii="Arial" w:eastAsia="Times New Roman" w:hAnsi="Arial" w:cs="Arial"/>
                <w:b/>
                <w:bCs/>
                <w:color w:val="000000"/>
                <w:sz w:val="24"/>
                <w:szCs w:val="24"/>
                <w:lang w:val="en-US" w:eastAsia="ru-RU"/>
              </w:rPr>
            </w:pPr>
            <w:r>
              <w:rPr>
                <w:rFonts w:ascii="Arial" w:eastAsia="Times New Roman" w:hAnsi="Arial" w:cs="Arial"/>
                <w:b/>
                <w:bCs/>
                <w:color w:val="000000"/>
                <w:sz w:val="24"/>
                <w:szCs w:val="28"/>
                <w:lang w:val="en-US" w:eastAsia="ru-RU"/>
              </w:rPr>
              <w:t xml:space="preserve">RUB </w:t>
            </w:r>
            <w:proofErr w:type="spellStart"/>
            <w:r>
              <w:rPr>
                <w:rFonts w:ascii="Arial" w:eastAsia="Times New Roman" w:hAnsi="Arial" w:cs="Arial"/>
                <w:b/>
                <w:bCs/>
                <w:color w:val="000000"/>
                <w:sz w:val="24"/>
                <w:szCs w:val="28"/>
                <w:lang w:val="en-US" w:eastAsia="ru-RU"/>
              </w:rPr>
              <w:t>bln</w:t>
            </w:r>
            <w:proofErr w:type="spellEnd"/>
          </w:p>
        </w:tc>
        <w:tc>
          <w:tcPr>
            <w:tcW w:w="1120" w:type="dxa"/>
            <w:tcBorders>
              <w:top w:val="nil"/>
              <w:left w:val="nil"/>
              <w:bottom w:val="single" w:sz="12" w:space="0" w:color="auto"/>
              <w:right w:val="nil"/>
            </w:tcBorders>
            <w:shd w:val="clear" w:color="auto" w:fill="auto"/>
            <w:vAlign w:val="center"/>
            <w:hideMark/>
          </w:tcPr>
          <w:p w:rsidR="00634114" w:rsidRPr="00634114" w:rsidRDefault="00634114" w:rsidP="00822ED1">
            <w:pPr>
              <w:spacing w:after="0" w:line="240" w:lineRule="auto"/>
              <w:jc w:val="right"/>
              <w:rPr>
                <w:rFonts w:ascii="Arial" w:eastAsia="Times New Roman" w:hAnsi="Arial" w:cs="Arial"/>
                <w:b/>
                <w:bCs/>
                <w:color w:val="000000"/>
                <w:sz w:val="24"/>
                <w:szCs w:val="24"/>
                <w:lang w:eastAsia="ru-RU"/>
              </w:rPr>
            </w:pPr>
            <w:r w:rsidRPr="00634114">
              <w:rPr>
                <w:rFonts w:ascii="Arial" w:eastAsia="Times New Roman" w:hAnsi="Arial" w:cs="Arial"/>
                <w:b/>
                <w:bCs/>
                <w:color w:val="000000"/>
                <w:sz w:val="24"/>
                <w:szCs w:val="28"/>
                <w:lang w:eastAsia="ru-RU"/>
              </w:rPr>
              <w:t>2017</w:t>
            </w:r>
          </w:p>
        </w:tc>
        <w:tc>
          <w:tcPr>
            <w:tcW w:w="1160" w:type="dxa"/>
            <w:tcBorders>
              <w:top w:val="nil"/>
              <w:left w:val="nil"/>
              <w:bottom w:val="single" w:sz="12" w:space="0" w:color="auto"/>
              <w:right w:val="nil"/>
            </w:tcBorders>
            <w:shd w:val="clear" w:color="auto" w:fill="auto"/>
            <w:vAlign w:val="center"/>
            <w:hideMark/>
          </w:tcPr>
          <w:p w:rsidR="00634114" w:rsidRPr="00634114" w:rsidRDefault="00634114" w:rsidP="00822ED1">
            <w:pPr>
              <w:spacing w:after="0" w:line="240" w:lineRule="auto"/>
              <w:jc w:val="right"/>
              <w:rPr>
                <w:rFonts w:ascii="Arial" w:eastAsia="Times New Roman" w:hAnsi="Arial" w:cs="Arial"/>
                <w:b/>
                <w:bCs/>
                <w:color w:val="000000"/>
                <w:sz w:val="24"/>
                <w:szCs w:val="24"/>
                <w:lang w:eastAsia="ru-RU"/>
              </w:rPr>
            </w:pPr>
            <w:r w:rsidRPr="00634114">
              <w:rPr>
                <w:rFonts w:ascii="Arial" w:eastAsia="Times New Roman" w:hAnsi="Arial" w:cs="Arial"/>
                <w:b/>
                <w:bCs/>
                <w:color w:val="000000"/>
                <w:sz w:val="24"/>
                <w:szCs w:val="28"/>
                <w:lang w:eastAsia="ru-RU"/>
              </w:rPr>
              <w:t>2016</w:t>
            </w:r>
          </w:p>
        </w:tc>
        <w:tc>
          <w:tcPr>
            <w:tcW w:w="1540" w:type="dxa"/>
            <w:tcBorders>
              <w:top w:val="nil"/>
              <w:left w:val="nil"/>
              <w:bottom w:val="single" w:sz="12" w:space="0" w:color="auto"/>
              <w:right w:val="nil"/>
            </w:tcBorders>
            <w:shd w:val="clear" w:color="auto" w:fill="auto"/>
            <w:vAlign w:val="center"/>
            <w:hideMark/>
          </w:tcPr>
          <w:p w:rsidR="00634114" w:rsidRPr="00634114" w:rsidRDefault="00822ED1" w:rsidP="00DB059E">
            <w:pPr>
              <w:spacing w:after="0" w:line="240" w:lineRule="auto"/>
              <w:jc w:val="right"/>
              <w:rPr>
                <w:rFonts w:ascii="Arial" w:eastAsia="Times New Roman" w:hAnsi="Arial" w:cs="Arial"/>
                <w:b/>
                <w:bCs/>
                <w:color w:val="000000"/>
                <w:sz w:val="24"/>
                <w:szCs w:val="24"/>
                <w:lang w:eastAsia="ru-RU"/>
              </w:rPr>
            </w:pPr>
            <w:r>
              <w:rPr>
                <w:rFonts w:ascii="Arial" w:eastAsia="Times New Roman" w:hAnsi="Arial" w:cs="Arial"/>
                <w:b/>
                <w:bCs/>
                <w:color w:val="000000"/>
                <w:sz w:val="24"/>
                <w:szCs w:val="28"/>
                <w:lang w:val="en-US" w:eastAsia="ru-RU"/>
              </w:rPr>
              <w:t>Change</w:t>
            </w:r>
            <w:r w:rsidR="00DB059E">
              <w:rPr>
                <w:rFonts w:ascii="Arial" w:eastAsia="Times New Roman" w:hAnsi="Arial" w:cs="Arial"/>
                <w:b/>
                <w:bCs/>
                <w:color w:val="000000"/>
                <w:sz w:val="24"/>
                <w:szCs w:val="28"/>
                <w:lang w:eastAsia="ru-RU"/>
              </w:rPr>
              <w:t xml:space="preserve"> </w:t>
            </w:r>
          </w:p>
        </w:tc>
      </w:tr>
      <w:tr w:rsidR="00634114" w:rsidRPr="00634114" w:rsidTr="00634114">
        <w:trPr>
          <w:trHeight w:val="330"/>
        </w:trPr>
        <w:tc>
          <w:tcPr>
            <w:tcW w:w="5140" w:type="dxa"/>
            <w:tcBorders>
              <w:top w:val="nil"/>
              <w:left w:val="nil"/>
              <w:bottom w:val="nil"/>
              <w:right w:val="nil"/>
            </w:tcBorders>
            <w:shd w:val="clear" w:color="auto" w:fill="auto"/>
            <w:vAlign w:val="center"/>
            <w:hideMark/>
          </w:tcPr>
          <w:p w:rsidR="00634114" w:rsidRPr="00822ED1" w:rsidRDefault="00822ED1" w:rsidP="00634114">
            <w:pPr>
              <w:spacing w:after="0" w:line="240" w:lineRule="auto"/>
              <w:jc w:val="both"/>
              <w:rPr>
                <w:rFonts w:ascii="Arial" w:eastAsia="Times New Roman" w:hAnsi="Arial" w:cs="Arial"/>
                <w:color w:val="000000"/>
                <w:sz w:val="24"/>
                <w:szCs w:val="24"/>
                <w:lang w:val="en-US" w:eastAsia="ru-RU"/>
              </w:rPr>
            </w:pPr>
            <w:r>
              <w:rPr>
                <w:rFonts w:ascii="Arial" w:eastAsia="Times New Roman" w:hAnsi="Arial" w:cs="Arial"/>
                <w:color w:val="000000"/>
                <w:sz w:val="24"/>
                <w:szCs w:val="28"/>
                <w:lang w:val="en-US" w:eastAsia="ru-RU"/>
              </w:rPr>
              <w:t>Revenue</w:t>
            </w:r>
          </w:p>
        </w:tc>
        <w:tc>
          <w:tcPr>
            <w:tcW w:w="1120" w:type="dxa"/>
            <w:tcBorders>
              <w:top w:val="nil"/>
              <w:left w:val="nil"/>
              <w:bottom w:val="nil"/>
              <w:right w:val="nil"/>
            </w:tcBorders>
            <w:shd w:val="clear" w:color="auto" w:fill="auto"/>
            <w:vAlign w:val="center"/>
            <w:hideMark/>
          </w:tcPr>
          <w:p w:rsidR="00634114" w:rsidRPr="00634114" w:rsidRDefault="00634114" w:rsidP="00822ED1">
            <w:pPr>
              <w:spacing w:after="0" w:line="240" w:lineRule="auto"/>
              <w:jc w:val="right"/>
              <w:rPr>
                <w:rFonts w:ascii="Arial" w:eastAsia="Times New Roman" w:hAnsi="Arial" w:cs="Arial"/>
                <w:color w:val="000000"/>
                <w:sz w:val="24"/>
                <w:szCs w:val="24"/>
                <w:lang w:eastAsia="ru-RU"/>
              </w:rPr>
            </w:pPr>
            <w:r w:rsidRPr="00634114">
              <w:rPr>
                <w:rFonts w:ascii="Arial" w:eastAsia="Times New Roman" w:hAnsi="Arial" w:cs="Arial"/>
                <w:color w:val="000000"/>
                <w:sz w:val="24"/>
                <w:szCs w:val="28"/>
                <w:lang w:eastAsia="ru-RU"/>
              </w:rPr>
              <w:t>129</w:t>
            </w:r>
            <w:r w:rsidR="00822ED1">
              <w:rPr>
                <w:rFonts w:ascii="Arial" w:eastAsia="Times New Roman" w:hAnsi="Arial" w:cs="Arial"/>
                <w:color w:val="000000"/>
                <w:sz w:val="24"/>
                <w:szCs w:val="28"/>
                <w:lang w:val="en-US" w:eastAsia="ru-RU"/>
              </w:rPr>
              <w:t>.</w:t>
            </w:r>
            <w:r w:rsidR="00C90F60">
              <w:rPr>
                <w:rFonts w:ascii="Arial" w:eastAsia="Times New Roman" w:hAnsi="Arial" w:cs="Arial"/>
                <w:color w:val="000000"/>
                <w:sz w:val="24"/>
                <w:szCs w:val="28"/>
                <w:lang w:eastAsia="ru-RU"/>
              </w:rPr>
              <w:t>2</w:t>
            </w:r>
          </w:p>
        </w:tc>
        <w:tc>
          <w:tcPr>
            <w:tcW w:w="1160" w:type="dxa"/>
            <w:tcBorders>
              <w:top w:val="nil"/>
              <w:left w:val="nil"/>
              <w:bottom w:val="nil"/>
              <w:right w:val="nil"/>
            </w:tcBorders>
            <w:shd w:val="clear" w:color="auto" w:fill="auto"/>
            <w:vAlign w:val="center"/>
            <w:hideMark/>
          </w:tcPr>
          <w:p w:rsidR="00634114" w:rsidRPr="00386F73" w:rsidRDefault="00634114" w:rsidP="00634114">
            <w:pPr>
              <w:spacing w:after="0" w:line="240" w:lineRule="auto"/>
              <w:jc w:val="right"/>
              <w:rPr>
                <w:rFonts w:ascii="Arial" w:eastAsia="Times New Roman" w:hAnsi="Arial" w:cs="Arial"/>
                <w:color w:val="000000"/>
                <w:sz w:val="24"/>
                <w:szCs w:val="24"/>
                <w:lang w:val="en-US" w:eastAsia="ru-RU"/>
              </w:rPr>
            </w:pPr>
            <w:r w:rsidRPr="00634114">
              <w:rPr>
                <w:rFonts w:ascii="Arial" w:eastAsia="Times New Roman" w:hAnsi="Arial" w:cs="Arial"/>
                <w:color w:val="000000"/>
                <w:sz w:val="24"/>
                <w:szCs w:val="28"/>
                <w:lang w:eastAsia="ru-RU"/>
              </w:rPr>
              <w:t>105</w:t>
            </w:r>
            <w:r w:rsidR="00822ED1">
              <w:rPr>
                <w:rFonts w:ascii="Arial" w:eastAsia="Times New Roman" w:hAnsi="Arial" w:cs="Arial"/>
                <w:color w:val="000000"/>
                <w:sz w:val="24"/>
                <w:szCs w:val="28"/>
                <w:lang w:eastAsia="ru-RU"/>
              </w:rPr>
              <w:t>.</w:t>
            </w:r>
            <w:r w:rsidR="00C90F60">
              <w:rPr>
                <w:rFonts w:ascii="Arial" w:eastAsia="Times New Roman" w:hAnsi="Arial" w:cs="Arial"/>
                <w:color w:val="000000"/>
                <w:sz w:val="24"/>
                <w:szCs w:val="28"/>
                <w:lang w:eastAsia="ru-RU"/>
              </w:rPr>
              <w:t>0</w:t>
            </w:r>
          </w:p>
        </w:tc>
        <w:tc>
          <w:tcPr>
            <w:tcW w:w="1540" w:type="dxa"/>
            <w:tcBorders>
              <w:top w:val="nil"/>
              <w:left w:val="nil"/>
              <w:bottom w:val="nil"/>
              <w:right w:val="nil"/>
            </w:tcBorders>
            <w:shd w:val="clear" w:color="auto" w:fill="auto"/>
            <w:vAlign w:val="center"/>
            <w:hideMark/>
          </w:tcPr>
          <w:p w:rsidR="00634114" w:rsidRPr="00634114" w:rsidRDefault="00634114" w:rsidP="00DB059E">
            <w:pPr>
              <w:spacing w:after="0" w:line="240" w:lineRule="auto"/>
              <w:jc w:val="right"/>
              <w:rPr>
                <w:rFonts w:ascii="Arial" w:eastAsia="Times New Roman" w:hAnsi="Arial" w:cs="Arial"/>
                <w:color w:val="000000"/>
                <w:sz w:val="24"/>
                <w:szCs w:val="24"/>
                <w:lang w:eastAsia="ru-RU"/>
              </w:rPr>
            </w:pPr>
            <w:r w:rsidRPr="00634114">
              <w:rPr>
                <w:rFonts w:ascii="Arial" w:eastAsia="Times New Roman" w:hAnsi="Arial" w:cs="Arial"/>
                <w:color w:val="000000"/>
                <w:sz w:val="24"/>
                <w:szCs w:val="28"/>
                <w:lang w:eastAsia="ru-RU"/>
              </w:rPr>
              <w:t>23</w:t>
            </w:r>
            <w:r w:rsidR="00DB059E">
              <w:rPr>
                <w:rFonts w:ascii="Arial" w:eastAsia="Times New Roman" w:hAnsi="Arial" w:cs="Arial"/>
                <w:color w:val="000000"/>
                <w:sz w:val="24"/>
                <w:szCs w:val="28"/>
                <w:lang w:eastAsia="ru-RU"/>
              </w:rPr>
              <w:t>%</w:t>
            </w:r>
          </w:p>
        </w:tc>
      </w:tr>
      <w:tr w:rsidR="00634114" w:rsidRPr="00634114" w:rsidTr="00634114">
        <w:trPr>
          <w:trHeight w:val="315"/>
        </w:trPr>
        <w:tc>
          <w:tcPr>
            <w:tcW w:w="5140" w:type="dxa"/>
            <w:tcBorders>
              <w:top w:val="nil"/>
              <w:left w:val="nil"/>
              <w:bottom w:val="nil"/>
              <w:right w:val="nil"/>
            </w:tcBorders>
            <w:shd w:val="clear" w:color="auto" w:fill="auto"/>
            <w:vAlign w:val="center"/>
            <w:hideMark/>
          </w:tcPr>
          <w:p w:rsidR="00634114" w:rsidRPr="00634114" w:rsidRDefault="00634114" w:rsidP="00634114">
            <w:pPr>
              <w:spacing w:after="0" w:line="240" w:lineRule="auto"/>
              <w:jc w:val="both"/>
              <w:rPr>
                <w:rFonts w:ascii="Calibri" w:eastAsia="Times New Roman" w:hAnsi="Calibri" w:cs="Times New Roman"/>
                <w:color w:val="0563C1"/>
                <w:sz w:val="24"/>
                <w:szCs w:val="24"/>
                <w:u w:val="single"/>
                <w:vertAlign w:val="superscript"/>
                <w:lang w:eastAsia="ru-RU"/>
              </w:rPr>
            </w:pPr>
            <w:r>
              <w:rPr>
                <w:rFonts w:ascii="Arial" w:eastAsia="Times New Roman" w:hAnsi="Arial" w:cs="Arial"/>
                <w:color w:val="000000"/>
                <w:sz w:val="24"/>
                <w:szCs w:val="28"/>
                <w:lang w:val="en-US" w:eastAsia="ru-RU"/>
              </w:rPr>
              <w:t>EBITDA</w:t>
            </w:r>
            <w:r w:rsidR="00C90F60">
              <w:rPr>
                <w:rStyle w:val="a7"/>
                <w:rFonts w:ascii="Arial" w:eastAsia="Times New Roman" w:hAnsi="Arial" w:cs="Arial"/>
                <w:color w:val="000000"/>
                <w:sz w:val="24"/>
                <w:szCs w:val="28"/>
                <w:lang w:val="en-US" w:eastAsia="ru-RU"/>
              </w:rPr>
              <w:footnoteReference w:id="3"/>
            </w:r>
          </w:p>
        </w:tc>
        <w:tc>
          <w:tcPr>
            <w:tcW w:w="1120" w:type="dxa"/>
            <w:tcBorders>
              <w:top w:val="nil"/>
              <w:left w:val="nil"/>
              <w:bottom w:val="nil"/>
              <w:right w:val="nil"/>
            </w:tcBorders>
            <w:shd w:val="clear" w:color="auto" w:fill="auto"/>
            <w:vAlign w:val="center"/>
            <w:hideMark/>
          </w:tcPr>
          <w:p w:rsidR="00634114" w:rsidRPr="00634114" w:rsidRDefault="00822ED1" w:rsidP="004465C6">
            <w:pPr>
              <w:spacing w:after="0" w:line="240" w:lineRule="auto"/>
              <w:jc w:val="right"/>
              <w:rPr>
                <w:rFonts w:ascii="Arial" w:eastAsia="Times New Roman" w:hAnsi="Arial" w:cs="Arial"/>
                <w:color w:val="000000"/>
                <w:sz w:val="24"/>
                <w:szCs w:val="24"/>
                <w:lang w:eastAsia="ru-RU"/>
              </w:rPr>
            </w:pPr>
            <w:r>
              <w:rPr>
                <w:rFonts w:ascii="Arial" w:eastAsia="Times New Roman" w:hAnsi="Arial" w:cs="Arial"/>
                <w:color w:val="000000"/>
                <w:sz w:val="24"/>
                <w:szCs w:val="28"/>
                <w:lang w:eastAsia="ru-RU"/>
              </w:rPr>
              <w:t>29.</w:t>
            </w:r>
            <w:r w:rsidR="004465C6">
              <w:rPr>
                <w:rFonts w:ascii="Arial" w:eastAsia="Times New Roman" w:hAnsi="Arial" w:cs="Arial"/>
                <w:color w:val="000000"/>
                <w:sz w:val="24"/>
                <w:szCs w:val="28"/>
                <w:lang w:eastAsia="ru-RU"/>
              </w:rPr>
              <w:t>9</w:t>
            </w:r>
          </w:p>
        </w:tc>
        <w:tc>
          <w:tcPr>
            <w:tcW w:w="1160" w:type="dxa"/>
            <w:tcBorders>
              <w:top w:val="nil"/>
              <w:left w:val="nil"/>
              <w:bottom w:val="nil"/>
              <w:right w:val="nil"/>
            </w:tcBorders>
            <w:shd w:val="clear" w:color="auto" w:fill="auto"/>
            <w:vAlign w:val="center"/>
            <w:hideMark/>
          </w:tcPr>
          <w:p w:rsidR="00634114" w:rsidRPr="00634114" w:rsidRDefault="00822ED1" w:rsidP="00634114">
            <w:pPr>
              <w:spacing w:after="0" w:line="240" w:lineRule="auto"/>
              <w:jc w:val="right"/>
              <w:rPr>
                <w:rFonts w:ascii="Arial" w:eastAsia="Times New Roman" w:hAnsi="Arial" w:cs="Arial"/>
                <w:color w:val="000000"/>
                <w:sz w:val="24"/>
                <w:szCs w:val="24"/>
                <w:lang w:eastAsia="ru-RU"/>
              </w:rPr>
            </w:pPr>
            <w:r>
              <w:rPr>
                <w:rFonts w:ascii="Arial" w:eastAsia="Times New Roman" w:hAnsi="Arial" w:cs="Arial"/>
                <w:color w:val="000000"/>
                <w:sz w:val="24"/>
                <w:szCs w:val="28"/>
                <w:lang w:eastAsia="ru-RU"/>
              </w:rPr>
              <w:t>25.</w:t>
            </w:r>
            <w:r w:rsidR="00634114" w:rsidRPr="00634114">
              <w:rPr>
                <w:rFonts w:ascii="Arial" w:eastAsia="Times New Roman" w:hAnsi="Arial" w:cs="Arial"/>
                <w:color w:val="000000"/>
                <w:sz w:val="24"/>
                <w:szCs w:val="28"/>
                <w:lang w:eastAsia="ru-RU"/>
              </w:rPr>
              <w:t>2</w:t>
            </w:r>
          </w:p>
        </w:tc>
        <w:tc>
          <w:tcPr>
            <w:tcW w:w="1540" w:type="dxa"/>
            <w:tcBorders>
              <w:top w:val="nil"/>
              <w:left w:val="nil"/>
              <w:bottom w:val="nil"/>
              <w:right w:val="nil"/>
            </w:tcBorders>
            <w:shd w:val="clear" w:color="auto" w:fill="auto"/>
            <w:vAlign w:val="center"/>
            <w:hideMark/>
          </w:tcPr>
          <w:p w:rsidR="00634114" w:rsidRPr="00634114" w:rsidRDefault="00634114" w:rsidP="00DB059E">
            <w:pPr>
              <w:spacing w:after="0" w:line="240" w:lineRule="auto"/>
              <w:jc w:val="right"/>
              <w:rPr>
                <w:rFonts w:ascii="Arial" w:eastAsia="Times New Roman" w:hAnsi="Arial" w:cs="Arial"/>
                <w:color w:val="000000"/>
                <w:sz w:val="24"/>
                <w:szCs w:val="24"/>
                <w:lang w:eastAsia="ru-RU"/>
              </w:rPr>
            </w:pPr>
            <w:r w:rsidRPr="00634114">
              <w:rPr>
                <w:rFonts w:ascii="Arial" w:eastAsia="Times New Roman" w:hAnsi="Arial" w:cs="Arial"/>
                <w:color w:val="000000"/>
                <w:sz w:val="24"/>
                <w:szCs w:val="28"/>
                <w:lang w:eastAsia="ru-RU"/>
              </w:rPr>
              <w:t>18</w:t>
            </w:r>
            <w:r w:rsidR="00DB059E">
              <w:rPr>
                <w:rFonts w:ascii="Arial" w:eastAsia="Times New Roman" w:hAnsi="Arial" w:cs="Arial"/>
                <w:color w:val="000000"/>
                <w:sz w:val="24"/>
                <w:szCs w:val="28"/>
                <w:lang w:eastAsia="ru-RU"/>
              </w:rPr>
              <w:t>%</w:t>
            </w:r>
          </w:p>
        </w:tc>
      </w:tr>
      <w:tr w:rsidR="00634114" w:rsidRPr="00634114" w:rsidTr="00634114">
        <w:trPr>
          <w:trHeight w:val="360"/>
        </w:trPr>
        <w:tc>
          <w:tcPr>
            <w:tcW w:w="5140" w:type="dxa"/>
            <w:tcBorders>
              <w:top w:val="nil"/>
              <w:left w:val="nil"/>
              <w:bottom w:val="nil"/>
              <w:right w:val="nil"/>
            </w:tcBorders>
            <w:shd w:val="clear" w:color="auto" w:fill="auto"/>
            <w:vAlign w:val="center"/>
            <w:hideMark/>
          </w:tcPr>
          <w:p w:rsidR="00634114" w:rsidRPr="00634114" w:rsidRDefault="00634114" w:rsidP="00634114">
            <w:pPr>
              <w:spacing w:after="0" w:line="240" w:lineRule="auto"/>
              <w:rPr>
                <w:rFonts w:ascii="Arial" w:eastAsia="Times New Roman" w:hAnsi="Arial" w:cs="Arial"/>
                <w:color w:val="000000"/>
                <w:sz w:val="24"/>
                <w:szCs w:val="24"/>
                <w:lang w:eastAsia="ru-RU"/>
              </w:rPr>
            </w:pPr>
            <w:r w:rsidRPr="00634114">
              <w:rPr>
                <w:rFonts w:ascii="Arial" w:eastAsia="Times New Roman" w:hAnsi="Arial" w:cs="Arial"/>
                <w:color w:val="000000"/>
                <w:sz w:val="24"/>
                <w:szCs w:val="28"/>
                <w:lang w:val="en-US" w:eastAsia="ru-RU"/>
              </w:rPr>
              <w:t>OIBDA</w:t>
            </w:r>
            <w:r>
              <w:rPr>
                <w:rStyle w:val="a7"/>
                <w:rFonts w:ascii="Arial" w:eastAsia="Times New Roman" w:hAnsi="Arial" w:cs="Arial"/>
                <w:color w:val="000000"/>
                <w:sz w:val="24"/>
                <w:szCs w:val="28"/>
                <w:lang w:val="en-US" w:eastAsia="ru-RU"/>
              </w:rPr>
              <w:footnoteReference w:id="4"/>
            </w:r>
          </w:p>
        </w:tc>
        <w:tc>
          <w:tcPr>
            <w:tcW w:w="1120" w:type="dxa"/>
            <w:tcBorders>
              <w:top w:val="nil"/>
              <w:left w:val="nil"/>
              <w:bottom w:val="nil"/>
              <w:right w:val="nil"/>
            </w:tcBorders>
            <w:shd w:val="clear" w:color="auto" w:fill="auto"/>
            <w:vAlign w:val="center"/>
            <w:hideMark/>
          </w:tcPr>
          <w:p w:rsidR="00634114" w:rsidRPr="00634114" w:rsidRDefault="00822ED1" w:rsidP="00634114">
            <w:pPr>
              <w:spacing w:after="0" w:line="240" w:lineRule="auto"/>
              <w:jc w:val="right"/>
              <w:rPr>
                <w:rFonts w:ascii="Arial" w:eastAsia="Times New Roman" w:hAnsi="Arial" w:cs="Arial"/>
                <w:color w:val="000000"/>
                <w:sz w:val="24"/>
                <w:szCs w:val="24"/>
                <w:lang w:eastAsia="ru-RU"/>
              </w:rPr>
            </w:pPr>
            <w:r>
              <w:rPr>
                <w:rFonts w:ascii="Arial" w:eastAsia="Times New Roman" w:hAnsi="Arial" w:cs="Arial"/>
                <w:color w:val="000000"/>
                <w:sz w:val="24"/>
                <w:szCs w:val="28"/>
                <w:lang w:eastAsia="ru-RU"/>
              </w:rPr>
              <w:t>30.</w:t>
            </w:r>
            <w:r w:rsidR="00634114" w:rsidRPr="00634114">
              <w:rPr>
                <w:rFonts w:ascii="Arial" w:eastAsia="Times New Roman" w:hAnsi="Arial" w:cs="Arial"/>
                <w:color w:val="000000"/>
                <w:sz w:val="24"/>
                <w:szCs w:val="28"/>
                <w:lang w:eastAsia="ru-RU"/>
              </w:rPr>
              <w:t>8</w:t>
            </w:r>
          </w:p>
        </w:tc>
        <w:tc>
          <w:tcPr>
            <w:tcW w:w="1160" w:type="dxa"/>
            <w:tcBorders>
              <w:top w:val="nil"/>
              <w:left w:val="nil"/>
              <w:bottom w:val="nil"/>
              <w:right w:val="nil"/>
            </w:tcBorders>
            <w:shd w:val="clear" w:color="auto" w:fill="auto"/>
            <w:vAlign w:val="center"/>
            <w:hideMark/>
          </w:tcPr>
          <w:p w:rsidR="00634114" w:rsidRPr="00634114" w:rsidRDefault="00822ED1" w:rsidP="004465C6">
            <w:pPr>
              <w:spacing w:after="0" w:line="240" w:lineRule="auto"/>
              <w:jc w:val="right"/>
              <w:rPr>
                <w:rFonts w:ascii="Arial" w:eastAsia="Times New Roman" w:hAnsi="Arial" w:cs="Arial"/>
                <w:color w:val="000000"/>
                <w:sz w:val="24"/>
                <w:szCs w:val="24"/>
                <w:lang w:eastAsia="ru-RU"/>
              </w:rPr>
            </w:pPr>
            <w:r>
              <w:rPr>
                <w:rFonts w:ascii="Arial" w:eastAsia="Times New Roman" w:hAnsi="Arial" w:cs="Arial"/>
                <w:color w:val="000000"/>
                <w:sz w:val="24"/>
                <w:szCs w:val="28"/>
                <w:lang w:eastAsia="ru-RU"/>
              </w:rPr>
              <w:t>25.</w:t>
            </w:r>
            <w:r w:rsidR="004465C6">
              <w:rPr>
                <w:rFonts w:ascii="Arial" w:eastAsia="Times New Roman" w:hAnsi="Arial" w:cs="Arial"/>
                <w:color w:val="000000"/>
                <w:sz w:val="24"/>
                <w:szCs w:val="28"/>
                <w:lang w:eastAsia="ru-RU"/>
              </w:rPr>
              <w:t>8</w:t>
            </w:r>
          </w:p>
        </w:tc>
        <w:tc>
          <w:tcPr>
            <w:tcW w:w="1540" w:type="dxa"/>
            <w:tcBorders>
              <w:top w:val="nil"/>
              <w:left w:val="nil"/>
              <w:bottom w:val="nil"/>
              <w:right w:val="nil"/>
            </w:tcBorders>
            <w:shd w:val="clear" w:color="auto" w:fill="auto"/>
            <w:vAlign w:val="center"/>
            <w:hideMark/>
          </w:tcPr>
          <w:p w:rsidR="00634114" w:rsidRPr="00634114" w:rsidRDefault="00634114" w:rsidP="00DB059E">
            <w:pPr>
              <w:spacing w:after="0" w:line="240" w:lineRule="auto"/>
              <w:jc w:val="right"/>
              <w:rPr>
                <w:rFonts w:ascii="Arial" w:eastAsia="Times New Roman" w:hAnsi="Arial" w:cs="Arial"/>
                <w:color w:val="000000"/>
                <w:sz w:val="24"/>
                <w:szCs w:val="24"/>
                <w:lang w:eastAsia="ru-RU"/>
              </w:rPr>
            </w:pPr>
            <w:r w:rsidRPr="00634114">
              <w:rPr>
                <w:rFonts w:ascii="Arial" w:eastAsia="Times New Roman" w:hAnsi="Arial" w:cs="Arial"/>
                <w:color w:val="000000"/>
                <w:sz w:val="24"/>
                <w:szCs w:val="28"/>
                <w:lang w:eastAsia="ru-RU"/>
              </w:rPr>
              <w:t>20</w:t>
            </w:r>
            <w:r w:rsidR="00DB059E">
              <w:rPr>
                <w:rFonts w:ascii="Arial" w:eastAsia="Times New Roman" w:hAnsi="Arial" w:cs="Arial"/>
                <w:color w:val="000000"/>
                <w:sz w:val="24"/>
                <w:szCs w:val="28"/>
                <w:lang w:eastAsia="ru-RU"/>
              </w:rPr>
              <w:t>%</w:t>
            </w:r>
          </w:p>
        </w:tc>
      </w:tr>
      <w:tr w:rsidR="00634114" w:rsidRPr="00634114" w:rsidTr="00634114">
        <w:trPr>
          <w:trHeight w:val="315"/>
        </w:trPr>
        <w:tc>
          <w:tcPr>
            <w:tcW w:w="5140" w:type="dxa"/>
            <w:tcBorders>
              <w:top w:val="nil"/>
              <w:left w:val="nil"/>
              <w:bottom w:val="nil"/>
              <w:right w:val="nil"/>
            </w:tcBorders>
            <w:shd w:val="clear" w:color="auto" w:fill="auto"/>
            <w:vAlign w:val="center"/>
            <w:hideMark/>
          </w:tcPr>
          <w:p w:rsidR="00634114" w:rsidRPr="00822ED1" w:rsidRDefault="00822ED1" w:rsidP="004465C6">
            <w:pPr>
              <w:spacing w:after="0" w:line="240" w:lineRule="auto"/>
              <w:jc w:val="both"/>
              <w:rPr>
                <w:rFonts w:ascii="Arial" w:eastAsia="Times New Roman" w:hAnsi="Arial" w:cs="Arial"/>
                <w:color w:val="000000"/>
                <w:sz w:val="24"/>
                <w:szCs w:val="24"/>
                <w:lang w:val="en-US" w:eastAsia="ru-RU"/>
              </w:rPr>
            </w:pPr>
            <w:r>
              <w:rPr>
                <w:rFonts w:ascii="Arial" w:eastAsia="Times New Roman" w:hAnsi="Arial" w:cs="Arial"/>
                <w:color w:val="000000"/>
                <w:sz w:val="24"/>
                <w:szCs w:val="28"/>
                <w:lang w:val="en-US" w:eastAsia="ru-RU"/>
              </w:rPr>
              <w:t>Net profit</w:t>
            </w:r>
          </w:p>
        </w:tc>
        <w:tc>
          <w:tcPr>
            <w:tcW w:w="1120" w:type="dxa"/>
            <w:tcBorders>
              <w:top w:val="nil"/>
              <w:left w:val="nil"/>
              <w:bottom w:val="nil"/>
              <w:right w:val="nil"/>
            </w:tcBorders>
            <w:shd w:val="clear" w:color="auto" w:fill="auto"/>
            <w:vAlign w:val="center"/>
            <w:hideMark/>
          </w:tcPr>
          <w:p w:rsidR="00634114" w:rsidRPr="00634114" w:rsidRDefault="00822ED1" w:rsidP="00634114">
            <w:pPr>
              <w:spacing w:after="0" w:line="240" w:lineRule="auto"/>
              <w:jc w:val="right"/>
              <w:rPr>
                <w:rFonts w:ascii="Arial" w:eastAsia="Times New Roman" w:hAnsi="Arial" w:cs="Arial"/>
                <w:color w:val="000000"/>
                <w:sz w:val="24"/>
                <w:szCs w:val="24"/>
                <w:lang w:eastAsia="ru-RU"/>
              </w:rPr>
            </w:pPr>
            <w:r>
              <w:rPr>
                <w:rFonts w:ascii="Arial" w:eastAsia="Times New Roman" w:hAnsi="Arial" w:cs="Arial"/>
                <w:color w:val="000000"/>
                <w:sz w:val="24"/>
                <w:szCs w:val="28"/>
                <w:lang w:eastAsia="ru-RU"/>
              </w:rPr>
              <w:t>7.</w:t>
            </w:r>
            <w:r w:rsidR="00634114" w:rsidRPr="00634114">
              <w:rPr>
                <w:rFonts w:ascii="Arial" w:eastAsia="Times New Roman" w:hAnsi="Arial" w:cs="Arial"/>
                <w:color w:val="000000"/>
                <w:sz w:val="24"/>
                <w:szCs w:val="28"/>
                <w:lang w:eastAsia="ru-RU"/>
              </w:rPr>
              <w:t>3</w:t>
            </w:r>
          </w:p>
        </w:tc>
        <w:tc>
          <w:tcPr>
            <w:tcW w:w="1160" w:type="dxa"/>
            <w:tcBorders>
              <w:top w:val="nil"/>
              <w:left w:val="nil"/>
              <w:bottom w:val="nil"/>
              <w:right w:val="nil"/>
            </w:tcBorders>
            <w:shd w:val="clear" w:color="auto" w:fill="auto"/>
            <w:vAlign w:val="center"/>
            <w:hideMark/>
          </w:tcPr>
          <w:p w:rsidR="00634114" w:rsidRPr="00634114" w:rsidRDefault="00822ED1" w:rsidP="00634114">
            <w:pPr>
              <w:spacing w:after="0" w:line="240" w:lineRule="auto"/>
              <w:jc w:val="right"/>
              <w:rPr>
                <w:rFonts w:ascii="Arial" w:eastAsia="Times New Roman" w:hAnsi="Arial" w:cs="Arial"/>
                <w:color w:val="000000"/>
                <w:sz w:val="24"/>
                <w:szCs w:val="24"/>
                <w:lang w:eastAsia="ru-RU"/>
              </w:rPr>
            </w:pPr>
            <w:r>
              <w:rPr>
                <w:rFonts w:ascii="Arial" w:eastAsia="Times New Roman" w:hAnsi="Arial" w:cs="Arial"/>
                <w:color w:val="000000"/>
                <w:sz w:val="24"/>
                <w:szCs w:val="28"/>
                <w:lang w:eastAsia="ru-RU"/>
              </w:rPr>
              <w:t>13.</w:t>
            </w:r>
            <w:r w:rsidR="00634114" w:rsidRPr="00634114">
              <w:rPr>
                <w:rFonts w:ascii="Arial" w:eastAsia="Times New Roman" w:hAnsi="Arial" w:cs="Arial"/>
                <w:color w:val="000000"/>
                <w:sz w:val="24"/>
                <w:szCs w:val="28"/>
                <w:lang w:eastAsia="ru-RU"/>
              </w:rPr>
              <w:t>4</w:t>
            </w:r>
          </w:p>
        </w:tc>
        <w:tc>
          <w:tcPr>
            <w:tcW w:w="1540" w:type="dxa"/>
            <w:tcBorders>
              <w:top w:val="nil"/>
              <w:left w:val="nil"/>
              <w:bottom w:val="nil"/>
              <w:right w:val="nil"/>
            </w:tcBorders>
            <w:shd w:val="clear" w:color="auto" w:fill="auto"/>
            <w:vAlign w:val="center"/>
            <w:hideMark/>
          </w:tcPr>
          <w:p w:rsidR="00634114" w:rsidRPr="00634114" w:rsidRDefault="00DB059E" w:rsidP="00DB059E">
            <w:pPr>
              <w:spacing w:after="0" w:line="240" w:lineRule="auto"/>
              <w:jc w:val="right"/>
              <w:rPr>
                <w:rFonts w:ascii="Arial" w:eastAsia="Times New Roman" w:hAnsi="Arial" w:cs="Arial"/>
                <w:color w:val="000000"/>
                <w:sz w:val="24"/>
                <w:szCs w:val="24"/>
                <w:lang w:eastAsia="ru-RU"/>
              </w:rPr>
            </w:pPr>
            <w:r>
              <w:rPr>
                <w:rFonts w:ascii="Arial" w:eastAsia="Times New Roman" w:hAnsi="Arial" w:cs="Arial"/>
                <w:color w:val="000000"/>
                <w:sz w:val="24"/>
                <w:szCs w:val="28"/>
                <w:lang w:eastAsia="ru-RU"/>
              </w:rPr>
              <w:t>(</w:t>
            </w:r>
            <w:r w:rsidR="00634114" w:rsidRPr="00634114">
              <w:rPr>
                <w:rFonts w:ascii="Arial" w:eastAsia="Times New Roman" w:hAnsi="Arial" w:cs="Arial"/>
                <w:color w:val="000000"/>
                <w:sz w:val="24"/>
                <w:szCs w:val="28"/>
                <w:lang w:eastAsia="ru-RU"/>
              </w:rPr>
              <w:t>45</w:t>
            </w:r>
            <w:r>
              <w:rPr>
                <w:rFonts w:ascii="Arial" w:eastAsia="Times New Roman" w:hAnsi="Arial" w:cs="Arial"/>
                <w:color w:val="000000"/>
                <w:sz w:val="24"/>
                <w:szCs w:val="28"/>
                <w:lang w:eastAsia="ru-RU"/>
              </w:rPr>
              <w:t>%)</w:t>
            </w:r>
          </w:p>
        </w:tc>
      </w:tr>
      <w:tr w:rsidR="00634114" w:rsidRPr="00634114" w:rsidTr="00634114">
        <w:trPr>
          <w:trHeight w:val="360"/>
        </w:trPr>
        <w:tc>
          <w:tcPr>
            <w:tcW w:w="5140" w:type="dxa"/>
            <w:tcBorders>
              <w:top w:val="nil"/>
              <w:left w:val="nil"/>
              <w:bottom w:val="nil"/>
              <w:right w:val="nil"/>
            </w:tcBorders>
            <w:shd w:val="clear" w:color="auto" w:fill="auto"/>
            <w:vAlign w:val="center"/>
            <w:hideMark/>
          </w:tcPr>
          <w:p w:rsidR="00634114" w:rsidRPr="00634114" w:rsidRDefault="00822ED1" w:rsidP="00822ED1">
            <w:pPr>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8"/>
                <w:lang w:val="en-US" w:eastAsia="ru-RU"/>
              </w:rPr>
              <w:t>Adjusted net profit</w:t>
            </w:r>
            <w:r w:rsidR="00634114">
              <w:rPr>
                <w:rStyle w:val="a7"/>
                <w:rFonts w:ascii="Arial" w:eastAsia="Times New Roman" w:hAnsi="Arial" w:cs="Arial"/>
                <w:color w:val="000000"/>
                <w:sz w:val="24"/>
                <w:szCs w:val="28"/>
                <w:lang w:val="en-US" w:eastAsia="ru-RU"/>
              </w:rPr>
              <w:footnoteReference w:id="5"/>
            </w:r>
          </w:p>
        </w:tc>
        <w:tc>
          <w:tcPr>
            <w:tcW w:w="1120" w:type="dxa"/>
            <w:tcBorders>
              <w:top w:val="nil"/>
              <w:left w:val="nil"/>
              <w:bottom w:val="nil"/>
              <w:right w:val="nil"/>
            </w:tcBorders>
            <w:shd w:val="clear" w:color="auto" w:fill="auto"/>
            <w:vAlign w:val="center"/>
            <w:hideMark/>
          </w:tcPr>
          <w:p w:rsidR="00634114" w:rsidRPr="00634114" w:rsidRDefault="00634114" w:rsidP="004465C6">
            <w:pPr>
              <w:spacing w:after="0" w:line="240" w:lineRule="auto"/>
              <w:jc w:val="right"/>
              <w:rPr>
                <w:rFonts w:ascii="Arial" w:eastAsia="Times New Roman" w:hAnsi="Arial" w:cs="Arial"/>
                <w:color w:val="000000"/>
                <w:sz w:val="24"/>
                <w:szCs w:val="24"/>
                <w:lang w:eastAsia="ru-RU"/>
              </w:rPr>
            </w:pPr>
            <w:r w:rsidRPr="00634114">
              <w:rPr>
                <w:rFonts w:ascii="Arial" w:eastAsia="Times New Roman" w:hAnsi="Arial" w:cs="Arial"/>
                <w:color w:val="000000"/>
                <w:sz w:val="24"/>
                <w:szCs w:val="28"/>
                <w:lang w:eastAsia="ru-RU"/>
              </w:rPr>
              <w:t>1</w:t>
            </w:r>
            <w:r w:rsidR="00822ED1">
              <w:rPr>
                <w:rFonts w:ascii="Arial" w:eastAsia="Times New Roman" w:hAnsi="Arial" w:cs="Arial"/>
                <w:color w:val="000000"/>
                <w:sz w:val="24"/>
                <w:szCs w:val="28"/>
                <w:lang w:eastAsia="ru-RU"/>
              </w:rPr>
              <w:t>1.</w:t>
            </w:r>
            <w:r w:rsidR="004465C6">
              <w:rPr>
                <w:rFonts w:ascii="Arial" w:eastAsia="Times New Roman" w:hAnsi="Arial" w:cs="Arial"/>
                <w:color w:val="000000"/>
                <w:sz w:val="24"/>
                <w:szCs w:val="28"/>
                <w:lang w:eastAsia="ru-RU"/>
              </w:rPr>
              <w:t>1</w:t>
            </w:r>
          </w:p>
        </w:tc>
        <w:tc>
          <w:tcPr>
            <w:tcW w:w="1160" w:type="dxa"/>
            <w:tcBorders>
              <w:top w:val="nil"/>
              <w:left w:val="nil"/>
              <w:bottom w:val="nil"/>
              <w:right w:val="nil"/>
            </w:tcBorders>
            <w:shd w:val="clear" w:color="auto" w:fill="auto"/>
            <w:vAlign w:val="center"/>
            <w:hideMark/>
          </w:tcPr>
          <w:p w:rsidR="00634114" w:rsidRPr="00634114" w:rsidRDefault="00822ED1" w:rsidP="00A35293">
            <w:pPr>
              <w:spacing w:after="0" w:line="240" w:lineRule="auto"/>
              <w:jc w:val="right"/>
              <w:rPr>
                <w:rFonts w:ascii="Arial" w:eastAsia="Times New Roman" w:hAnsi="Arial" w:cs="Arial"/>
                <w:color w:val="000000"/>
                <w:sz w:val="24"/>
                <w:szCs w:val="24"/>
                <w:lang w:eastAsia="ru-RU"/>
              </w:rPr>
            </w:pPr>
            <w:r>
              <w:rPr>
                <w:rFonts w:ascii="Arial" w:eastAsia="Times New Roman" w:hAnsi="Arial" w:cs="Arial"/>
                <w:color w:val="000000"/>
                <w:sz w:val="24"/>
                <w:szCs w:val="28"/>
                <w:lang w:eastAsia="ru-RU"/>
              </w:rPr>
              <w:t>2.</w:t>
            </w:r>
            <w:r w:rsidR="00A35293">
              <w:rPr>
                <w:rFonts w:ascii="Arial" w:eastAsia="Times New Roman" w:hAnsi="Arial" w:cs="Arial"/>
                <w:color w:val="000000"/>
                <w:sz w:val="24"/>
                <w:szCs w:val="28"/>
                <w:lang w:eastAsia="ru-RU"/>
              </w:rPr>
              <w:t>6</w:t>
            </w:r>
          </w:p>
        </w:tc>
        <w:tc>
          <w:tcPr>
            <w:tcW w:w="1540" w:type="dxa"/>
            <w:tcBorders>
              <w:top w:val="nil"/>
              <w:left w:val="nil"/>
              <w:bottom w:val="nil"/>
              <w:right w:val="nil"/>
            </w:tcBorders>
            <w:shd w:val="clear" w:color="auto" w:fill="auto"/>
            <w:vAlign w:val="center"/>
            <w:hideMark/>
          </w:tcPr>
          <w:p w:rsidR="00634114" w:rsidRPr="00634114" w:rsidRDefault="00A35293" w:rsidP="00DB059E">
            <w:pPr>
              <w:spacing w:after="0" w:line="240" w:lineRule="auto"/>
              <w:jc w:val="right"/>
              <w:rPr>
                <w:rFonts w:ascii="Arial" w:eastAsia="Times New Roman" w:hAnsi="Arial" w:cs="Arial"/>
                <w:color w:val="000000"/>
                <w:sz w:val="24"/>
                <w:szCs w:val="24"/>
                <w:lang w:eastAsia="ru-RU"/>
              </w:rPr>
            </w:pPr>
            <w:r>
              <w:rPr>
                <w:rFonts w:ascii="Arial" w:eastAsia="Times New Roman" w:hAnsi="Arial" w:cs="Arial"/>
                <w:color w:val="000000"/>
                <w:sz w:val="24"/>
                <w:szCs w:val="28"/>
                <w:lang w:eastAsia="ru-RU"/>
              </w:rPr>
              <w:t>333</w:t>
            </w:r>
            <w:r w:rsidR="00DB059E">
              <w:rPr>
                <w:rFonts w:ascii="Arial" w:eastAsia="Times New Roman" w:hAnsi="Arial" w:cs="Arial"/>
                <w:color w:val="000000"/>
                <w:sz w:val="24"/>
                <w:szCs w:val="28"/>
                <w:lang w:eastAsia="ru-RU"/>
              </w:rPr>
              <w:t>%</w:t>
            </w:r>
          </w:p>
        </w:tc>
      </w:tr>
      <w:tr w:rsidR="00634114" w:rsidRPr="00634114" w:rsidTr="00634114">
        <w:trPr>
          <w:trHeight w:val="315"/>
        </w:trPr>
        <w:tc>
          <w:tcPr>
            <w:tcW w:w="5140" w:type="dxa"/>
            <w:tcBorders>
              <w:top w:val="nil"/>
              <w:left w:val="nil"/>
              <w:bottom w:val="nil"/>
              <w:right w:val="nil"/>
            </w:tcBorders>
            <w:shd w:val="clear" w:color="auto" w:fill="auto"/>
            <w:vAlign w:val="center"/>
            <w:hideMark/>
          </w:tcPr>
          <w:p w:rsidR="00634114" w:rsidRPr="00822ED1" w:rsidRDefault="00822ED1" w:rsidP="00634114">
            <w:pPr>
              <w:spacing w:after="0" w:line="240" w:lineRule="auto"/>
              <w:rPr>
                <w:rFonts w:ascii="Arial" w:eastAsia="Times New Roman" w:hAnsi="Arial" w:cs="Arial"/>
                <w:color w:val="000000"/>
                <w:sz w:val="24"/>
                <w:szCs w:val="24"/>
                <w:lang w:val="en-US" w:eastAsia="ru-RU"/>
              </w:rPr>
            </w:pPr>
            <w:r>
              <w:rPr>
                <w:rFonts w:ascii="Arial" w:eastAsia="Times New Roman" w:hAnsi="Arial" w:cs="Arial"/>
                <w:color w:val="000000"/>
                <w:sz w:val="24"/>
                <w:szCs w:val="28"/>
                <w:lang w:val="en-US" w:eastAsia="ru-RU"/>
              </w:rPr>
              <w:t>Net debt</w:t>
            </w:r>
          </w:p>
        </w:tc>
        <w:tc>
          <w:tcPr>
            <w:tcW w:w="1120" w:type="dxa"/>
            <w:tcBorders>
              <w:top w:val="nil"/>
              <w:left w:val="nil"/>
              <w:bottom w:val="nil"/>
              <w:right w:val="nil"/>
            </w:tcBorders>
            <w:shd w:val="clear" w:color="auto" w:fill="auto"/>
            <w:vAlign w:val="center"/>
            <w:hideMark/>
          </w:tcPr>
          <w:p w:rsidR="00634114" w:rsidRPr="00634114" w:rsidRDefault="00822ED1" w:rsidP="00634114">
            <w:pPr>
              <w:spacing w:after="0" w:line="240" w:lineRule="auto"/>
              <w:jc w:val="right"/>
              <w:rPr>
                <w:rFonts w:ascii="Arial" w:eastAsia="Times New Roman" w:hAnsi="Arial" w:cs="Arial"/>
                <w:color w:val="000000"/>
                <w:sz w:val="24"/>
                <w:szCs w:val="24"/>
                <w:lang w:eastAsia="ru-RU"/>
              </w:rPr>
            </w:pPr>
            <w:r>
              <w:rPr>
                <w:rFonts w:ascii="Arial" w:eastAsia="Times New Roman" w:hAnsi="Arial" w:cs="Arial"/>
                <w:color w:val="000000"/>
                <w:sz w:val="24"/>
                <w:szCs w:val="28"/>
                <w:lang w:eastAsia="ru-RU"/>
              </w:rPr>
              <w:t>79.</w:t>
            </w:r>
            <w:r w:rsidR="00634114" w:rsidRPr="00634114">
              <w:rPr>
                <w:rFonts w:ascii="Arial" w:eastAsia="Times New Roman" w:hAnsi="Arial" w:cs="Arial"/>
                <w:color w:val="000000"/>
                <w:sz w:val="24"/>
                <w:szCs w:val="28"/>
                <w:lang w:eastAsia="ru-RU"/>
              </w:rPr>
              <w:t>5</w:t>
            </w:r>
          </w:p>
        </w:tc>
        <w:tc>
          <w:tcPr>
            <w:tcW w:w="1160" w:type="dxa"/>
            <w:tcBorders>
              <w:top w:val="nil"/>
              <w:left w:val="nil"/>
              <w:bottom w:val="nil"/>
              <w:right w:val="nil"/>
            </w:tcBorders>
            <w:shd w:val="clear" w:color="auto" w:fill="auto"/>
            <w:vAlign w:val="center"/>
            <w:hideMark/>
          </w:tcPr>
          <w:p w:rsidR="00634114" w:rsidRPr="00634114" w:rsidRDefault="00634114" w:rsidP="00634114">
            <w:pPr>
              <w:spacing w:after="0" w:line="240" w:lineRule="auto"/>
              <w:jc w:val="right"/>
              <w:rPr>
                <w:rFonts w:ascii="Arial" w:eastAsia="Times New Roman" w:hAnsi="Arial" w:cs="Arial"/>
                <w:color w:val="000000"/>
                <w:sz w:val="24"/>
                <w:szCs w:val="24"/>
                <w:lang w:eastAsia="ru-RU"/>
              </w:rPr>
            </w:pPr>
            <w:r w:rsidRPr="00634114">
              <w:rPr>
                <w:rFonts w:ascii="Arial" w:eastAsia="Times New Roman" w:hAnsi="Arial" w:cs="Arial"/>
                <w:color w:val="000000"/>
                <w:sz w:val="24"/>
                <w:szCs w:val="28"/>
                <w:lang w:eastAsia="ru-RU"/>
              </w:rPr>
              <w:t>82</w:t>
            </w:r>
            <w:r w:rsidR="00822ED1">
              <w:rPr>
                <w:rFonts w:ascii="Arial" w:eastAsia="Times New Roman" w:hAnsi="Arial" w:cs="Arial"/>
                <w:color w:val="000000"/>
                <w:sz w:val="24"/>
                <w:szCs w:val="28"/>
                <w:lang w:eastAsia="ru-RU"/>
              </w:rPr>
              <w:t>.</w:t>
            </w:r>
            <w:r w:rsidR="00A35293">
              <w:rPr>
                <w:rFonts w:ascii="Arial" w:eastAsia="Times New Roman" w:hAnsi="Arial" w:cs="Arial"/>
                <w:color w:val="000000"/>
                <w:sz w:val="24"/>
                <w:szCs w:val="28"/>
                <w:lang w:eastAsia="ru-RU"/>
              </w:rPr>
              <w:t>0</w:t>
            </w:r>
          </w:p>
        </w:tc>
        <w:tc>
          <w:tcPr>
            <w:tcW w:w="1540" w:type="dxa"/>
            <w:tcBorders>
              <w:top w:val="nil"/>
              <w:left w:val="nil"/>
              <w:bottom w:val="nil"/>
              <w:right w:val="nil"/>
            </w:tcBorders>
            <w:shd w:val="clear" w:color="auto" w:fill="auto"/>
            <w:vAlign w:val="center"/>
            <w:hideMark/>
          </w:tcPr>
          <w:p w:rsidR="00634114" w:rsidRPr="00634114" w:rsidRDefault="00DB059E" w:rsidP="00DB059E">
            <w:pPr>
              <w:spacing w:after="0" w:line="240" w:lineRule="auto"/>
              <w:jc w:val="right"/>
              <w:rPr>
                <w:rFonts w:ascii="Arial" w:eastAsia="Times New Roman" w:hAnsi="Arial" w:cs="Arial"/>
                <w:color w:val="000000"/>
                <w:sz w:val="24"/>
                <w:szCs w:val="24"/>
                <w:lang w:eastAsia="ru-RU"/>
              </w:rPr>
            </w:pPr>
            <w:r>
              <w:rPr>
                <w:rFonts w:ascii="Arial" w:eastAsia="Times New Roman" w:hAnsi="Arial" w:cs="Arial"/>
                <w:color w:val="000000"/>
                <w:sz w:val="24"/>
                <w:szCs w:val="28"/>
                <w:lang w:eastAsia="ru-RU"/>
              </w:rPr>
              <w:t>(</w:t>
            </w:r>
            <w:r w:rsidR="00634114" w:rsidRPr="00634114">
              <w:rPr>
                <w:rFonts w:ascii="Arial" w:eastAsia="Times New Roman" w:hAnsi="Arial" w:cs="Arial"/>
                <w:color w:val="000000"/>
                <w:sz w:val="24"/>
                <w:szCs w:val="28"/>
                <w:lang w:eastAsia="ru-RU"/>
              </w:rPr>
              <w:t>3</w:t>
            </w:r>
            <w:r>
              <w:rPr>
                <w:rFonts w:ascii="Arial" w:eastAsia="Times New Roman" w:hAnsi="Arial" w:cs="Arial"/>
                <w:color w:val="000000"/>
                <w:sz w:val="24"/>
                <w:szCs w:val="28"/>
                <w:lang w:eastAsia="ru-RU"/>
              </w:rPr>
              <w:t>%)</w:t>
            </w:r>
          </w:p>
        </w:tc>
      </w:tr>
      <w:tr w:rsidR="00B414BA" w:rsidRPr="00634114" w:rsidTr="00B414BA">
        <w:trPr>
          <w:trHeight w:val="70"/>
        </w:trPr>
        <w:tc>
          <w:tcPr>
            <w:tcW w:w="5140" w:type="dxa"/>
            <w:tcBorders>
              <w:top w:val="nil"/>
              <w:left w:val="nil"/>
              <w:bottom w:val="single" w:sz="12" w:space="0" w:color="auto"/>
              <w:right w:val="nil"/>
            </w:tcBorders>
            <w:shd w:val="clear" w:color="auto" w:fill="auto"/>
            <w:vAlign w:val="center"/>
          </w:tcPr>
          <w:p w:rsidR="00B414BA" w:rsidRPr="00634114" w:rsidRDefault="00B414BA" w:rsidP="00634114">
            <w:pPr>
              <w:spacing w:after="0" w:line="240" w:lineRule="auto"/>
              <w:rPr>
                <w:rFonts w:ascii="Arial" w:eastAsia="Times New Roman" w:hAnsi="Arial" w:cs="Arial"/>
                <w:color w:val="000000"/>
                <w:sz w:val="24"/>
                <w:szCs w:val="24"/>
                <w:lang w:eastAsia="ru-RU"/>
              </w:rPr>
            </w:pPr>
          </w:p>
        </w:tc>
        <w:tc>
          <w:tcPr>
            <w:tcW w:w="1120" w:type="dxa"/>
            <w:tcBorders>
              <w:top w:val="nil"/>
              <w:left w:val="nil"/>
              <w:bottom w:val="single" w:sz="12" w:space="0" w:color="auto"/>
              <w:right w:val="nil"/>
            </w:tcBorders>
            <w:shd w:val="clear" w:color="auto" w:fill="auto"/>
            <w:vAlign w:val="center"/>
          </w:tcPr>
          <w:p w:rsidR="00B414BA" w:rsidRPr="00634114" w:rsidRDefault="00B414BA" w:rsidP="00D26FAE">
            <w:pPr>
              <w:spacing w:after="0" w:line="240" w:lineRule="auto"/>
              <w:jc w:val="right"/>
              <w:rPr>
                <w:rFonts w:ascii="Arial" w:eastAsia="Times New Roman" w:hAnsi="Arial" w:cs="Arial"/>
                <w:color w:val="000000"/>
                <w:sz w:val="24"/>
                <w:szCs w:val="24"/>
                <w:lang w:eastAsia="ru-RU"/>
              </w:rPr>
            </w:pPr>
          </w:p>
        </w:tc>
        <w:tc>
          <w:tcPr>
            <w:tcW w:w="1160" w:type="dxa"/>
            <w:tcBorders>
              <w:top w:val="nil"/>
              <w:left w:val="nil"/>
              <w:bottom w:val="single" w:sz="12" w:space="0" w:color="auto"/>
              <w:right w:val="nil"/>
            </w:tcBorders>
            <w:shd w:val="clear" w:color="auto" w:fill="auto"/>
            <w:vAlign w:val="center"/>
          </w:tcPr>
          <w:p w:rsidR="00B414BA" w:rsidRPr="00634114" w:rsidRDefault="00B414BA" w:rsidP="00634114">
            <w:pPr>
              <w:spacing w:after="0" w:line="240" w:lineRule="auto"/>
              <w:jc w:val="right"/>
              <w:rPr>
                <w:rFonts w:ascii="Arial" w:eastAsia="Times New Roman" w:hAnsi="Arial" w:cs="Arial"/>
                <w:color w:val="000000"/>
                <w:sz w:val="24"/>
                <w:szCs w:val="24"/>
                <w:lang w:eastAsia="ru-RU"/>
              </w:rPr>
            </w:pPr>
          </w:p>
        </w:tc>
        <w:tc>
          <w:tcPr>
            <w:tcW w:w="1540" w:type="dxa"/>
            <w:tcBorders>
              <w:top w:val="nil"/>
              <w:left w:val="nil"/>
              <w:bottom w:val="single" w:sz="12" w:space="0" w:color="auto"/>
              <w:right w:val="nil"/>
            </w:tcBorders>
            <w:shd w:val="clear" w:color="auto" w:fill="auto"/>
            <w:vAlign w:val="center"/>
          </w:tcPr>
          <w:p w:rsidR="00B414BA" w:rsidRPr="00634114" w:rsidRDefault="00B414BA" w:rsidP="00634114">
            <w:pPr>
              <w:spacing w:after="0" w:line="240" w:lineRule="auto"/>
              <w:jc w:val="right"/>
              <w:rPr>
                <w:rFonts w:ascii="Arial" w:eastAsia="Times New Roman" w:hAnsi="Arial" w:cs="Arial"/>
                <w:color w:val="000000"/>
                <w:sz w:val="24"/>
                <w:szCs w:val="24"/>
                <w:lang w:eastAsia="ru-RU"/>
              </w:rPr>
            </w:pPr>
          </w:p>
        </w:tc>
      </w:tr>
    </w:tbl>
    <w:p w:rsidR="00634114" w:rsidRDefault="00634114" w:rsidP="006520EA">
      <w:pPr>
        <w:spacing w:line="360" w:lineRule="auto"/>
        <w:jc w:val="both"/>
        <w:rPr>
          <w:rFonts w:ascii="Arial" w:hAnsi="Arial" w:cs="Arial"/>
          <w:sz w:val="24"/>
          <w:szCs w:val="28"/>
        </w:rPr>
      </w:pPr>
    </w:p>
    <w:p w:rsidR="00822ED1" w:rsidRPr="00822ED1" w:rsidRDefault="00822ED1" w:rsidP="00822ED1">
      <w:pPr>
        <w:spacing w:line="360" w:lineRule="auto"/>
        <w:jc w:val="both"/>
        <w:rPr>
          <w:rFonts w:ascii="Arial" w:hAnsi="Arial" w:cs="Arial"/>
          <w:sz w:val="24"/>
          <w:szCs w:val="28"/>
          <w:lang w:val="en-US"/>
        </w:rPr>
      </w:pPr>
      <w:r w:rsidRPr="00822ED1">
        <w:rPr>
          <w:rFonts w:ascii="Arial" w:hAnsi="Arial" w:cs="Arial"/>
          <w:sz w:val="24"/>
          <w:szCs w:val="28"/>
          <w:lang w:val="en-US"/>
        </w:rPr>
        <w:t>In 2017</w:t>
      </w:r>
      <w:r>
        <w:rPr>
          <w:rFonts w:ascii="Arial" w:hAnsi="Arial" w:cs="Arial"/>
          <w:sz w:val="24"/>
          <w:szCs w:val="28"/>
          <w:lang w:val="en-US"/>
        </w:rPr>
        <w:t>,</w:t>
      </w:r>
      <w:r w:rsidRPr="00822ED1">
        <w:rPr>
          <w:rFonts w:ascii="Arial" w:hAnsi="Arial" w:cs="Arial"/>
          <w:sz w:val="24"/>
          <w:szCs w:val="28"/>
          <w:lang w:val="en-US"/>
        </w:rPr>
        <w:t xml:space="preserve"> </w:t>
      </w:r>
      <w:r>
        <w:rPr>
          <w:rFonts w:ascii="Arial" w:hAnsi="Arial" w:cs="Arial"/>
          <w:sz w:val="24"/>
          <w:szCs w:val="28"/>
          <w:lang w:val="en-US"/>
        </w:rPr>
        <w:t>“</w:t>
      </w:r>
      <w:r w:rsidRPr="00822ED1">
        <w:rPr>
          <w:rFonts w:ascii="Arial" w:hAnsi="Arial" w:cs="Arial"/>
          <w:sz w:val="24"/>
          <w:szCs w:val="28"/>
          <w:lang w:val="en-US"/>
        </w:rPr>
        <w:t>RussNeft</w:t>
      </w:r>
      <w:r>
        <w:rPr>
          <w:rFonts w:ascii="Arial" w:hAnsi="Arial" w:cs="Arial"/>
          <w:sz w:val="24"/>
          <w:szCs w:val="28"/>
          <w:lang w:val="en-US"/>
        </w:rPr>
        <w:t>”</w:t>
      </w:r>
      <w:r w:rsidRPr="00822ED1">
        <w:rPr>
          <w:rFonts w:ascii="Arial" w:hAnsi="Arial" w:cs="Arial"/>
          <w:sz w:val="24"/>
          <w:szCs w:val="28"/>
          <w:lang w:val="en-US"/>
        </w:rPr>
        <w:t xml:space="preserve"> demonstrated significant growth of financial indicators with stable production. Revenue increased by 23% to RUB 129.2 billion and EBITDA amounted to RUB 29.9 billion, up 18% from </w:t>
      </w:r>
      <w:r>
        <w:rPr>
          <w:rFonts w:ascii="Arial" w:hAnsi="Arial" w:cs="Arial"/>
          <w:sz w:val="24"/>
          <w:szCs w:val="28"/>
          <w:lang w:val="en-US"/>
        </w:rPr>
        <w:t>the previous</w:t>
      </w:r>
      <w:r w:rsidRPr="00822ED1">
        <w:rPr>
          <w:rFonts w:ascii="Arial" w:hAnsi="Arial" w:cs="Arial"/>
          <w:sz w:val="24"/>
          <w:szCs w:val="28"/>
          <w:lang w:val="en-US"/>
        </w:rPr>
        <w:t xml:space="preserve"> year. The main </w:t>
      </w:r>
      <w:r>
        <w:rPr>
          <w:rFonts w:ascii="Arial" w:hAnsi="Arial" w:cs="Arial"/>
          <w:sz w:val="24"/>
          <w:szCs w:val="28"/>
          <w:lang w:val="en-US"/>
        </w:rPr>
        <w:t>cause of</w:t>
      </w:r>
      <w:r w:rsidRPr="00822ED1">
        <w:rPr>
          <w:rFonts w:ascii="Arial" w:hAnsi="Arial" w:cs="Arial"/>
          <w:sz w:val="24"/>
          <w:szCs w:val="28"/>
          <w:lang w:val="en-US"/>
        </w:rPr>
        <w:t xml:space="preserve"> the increase in revenues and EBITDA was a significant </w:t>
      </w:r>
      <w:r>
        <w:rPr>
          <w:rFonts w:ascii="Arial" w:hAnsi="Arial" w:cs="Arial"/>
          <w:sz w:val="24"/>
          <w:szCs w:val="28"/>
          <w:lang w:val="en-US"/>
        </w:rPr>
        <w:t>rise</w:t>
      </w:r>
      <w:r w:rsidRPr="00822ED1">
        <w:rPr>
          <w:rFonts w:ascii="Arial" w:hAnsi="Arial" w:cs="Arial"/>
          <w:sz w:val="24"/>
          <w:szCs w:val="28"/>
          <w:lang w:val="en-US"/>
        </w:rPr>
        <w:t xml:space="preserve"> </w:t>
      </w:r>
      <w:r>
        <w:rPr>
          <w:rFonts w:ascii="Arial" w:hAnsi="Arial" w:cs="Arial"/>
          <w:sz w:val="24"/>
          <w:szCs w:val="28"/>
          <w:lang w:val="en-US"/>
        </w:rPr>
        <w:t>of the</w:t>
      </w:r>
      <w:r w:rsidRPr="00822ED1">
        <w:rPr>
          <w:rFonts w:ascii="Arial" w:hAnsi="Arial" w:cs="Arial"/>
          <w:sz w:val="24"/>
          <w:szCs w:val="28"/>
          <w:lang w:val="en-US"/>
        </w:rPr>
        <w:t xml:space="preserve"> oil prices, as well as the growth of high-margin oil production to 34% of the total</w:t>
      </w:r>
      <w:r>
        <w:rPr>
          <w:rFonts w:ascii="Arial" w:hAnsi="Arial" w:cs="Arial"/>
          <w:sz w:val="24"/>
          <w:szCs w:val="28"/>
          <w:lang w:val="en-US"/>
        </w:rPr>
        <w:t xml:space="preserve"> volume</w:t>
      </w:r>
      <w:r w:rsidRPr="00822ED1">
        <w:rPr>
          <w:rFonts w:ascii="Arial" w:hAnsi="Arial" w:cs="Arial"/>
          <w:sz w:val="24"/>
          <w:szCs w:val="28"/>
          <w:lang w:val="en-US"/>
        </w:rPr>
        <w:t>.</w:t>
      </w:r>
    </w:p>
    <w:p w:rsidR="00822ED1" w:rsidRPr="00822ED1" w:rsidRDefault="00822ED1" w:rsidP="00822ED1">
      <w:pPr>
        <w:spacing w:line="360" w:lineRule="auto"/>
        <w:jc w:val="both"/>
        <w:rPr>
          <w:rFonts w:ascii="Arial" w:hAnsi="Arial" w:cs="Arial"/>
          <w:sz w:val="24"/>
          <w:szCs w:val="28"/>
          <w:lang w:val="en-US"/>
        </w:rPr>
      </w:pPr>
      <w:r w:rsidRPr="00822ED1">
        <w:rPr>
          <w:rFonts w:ascii="Arial" w:hAnsi="Arial" w:cs="Arial"/>
          <w:sz w:val="24"/>
          <w:szCs w:val="28"/>
          <w:lang w:val="en-US"/>
        </w:rPr>
        <w:t xml:space="preserve">Net profit amounted to </w:t>
      </w:r>
      <w:r>
        <w:rPr>
          <w:rFonts w:ascii="Arial" w:hAnsi="Arial" w:cs="Arial"/>
          <w:sz w:val="24"/>
          <w:szCs w:val="28"/>
          <w:lang w:val="en-US"/>
        </w:rPr>
        <w:t xml:space="preserve">RUB </w:t>
      </w:r>
      <w:r w:rsidRPr="00822ED1">
        <w:rPr>
          <w:rFonts w:ascii="Arial" w:hAnsi="Arial" w:cs="Arial"/>
          <w:sz w:val="24"/>
          <w:szCs w:val="28"/>
          <w:lang w:val="en-US"/>
        </w:rPr>
        <w:t xml:space="preserve">7.3 billion, which is 45% lower than </w:t>
      </w:r>
      <w:r>
        <w:rPr>
          <w:rFonts w:ascii="Arial" w:hAnsi="Arial" w:cs="Arial"/>
          <w:sz w:val="24"/>
          <w:szCs w:val="28"/>
          <w:lang w:val="en-US"/>
        </w:rPr>
        <w:t xml:space="preserve">the </w:t>
      </w:r>
      <w:r w:rsidRPr="00822ED1">
        <w:rPr>
          <w:rFonts w:ascii="Arial" w:hAnsi="Arial" w:cs="Arial"/>
          <w:sz w:val="24"/>
          <w:szCs w:val="28"/>
          <w:lang w:val="en-US"/>
        </w:rPr>
        <w:t>last year. The decrease in profit was due to a significant effect on the positive foreign exchange differences in 2016, as well as a "paper" loss on revaluation of the fair value of derivative financial instruments.</w:t>
      </w:r>
    </w:p>
    <w:p w:rsidR="00822ED1" w:rsidRDefault="00822ED1" w:rsidP="00822ED1">
      <w:pPr>
        <w:spacing w:line="360" w:lineRule="auto"/>
        <w:jc w:val="both"/>
        <w:rPr>
          <w:rFonts w:ascii="Arial" w:hAnsi="Arial" w:cs="Arial"/>
          <w:sz w:val="24"/>
          <w:szCs w:val="28"/>
          <w:lang w:val="en-US"/>
        </w:rPr>
      </w:pPr>
      <w:r w:rsidRPr="00822ED1">
        <w:rPr>
          <w:rFonts w:ascii="Arial" w:hAnsi="Arial" w:cs="Arial"/>
          <w:sz w:val="24"/>
          <w:szCs w:val="28"/>
          <w:lang w:val="en-US"/>
        </w:rPr>
        <w:t xml:space="preserve">Adjusted net profit excluding these factors shows a 4.3-fold increase, reflecting a significant improvement in the operating profile of </w:t>
      </w:r>
      <w:r>
        <w:rPr>
          <w:rFonts w:ascii="Arial" w:hAnsi="Arial" w:cs="Arial"/>
          <w:sz w:val="24"/>
          <w:szCs w:val="28"/>
          <w:lang w:val="en-US"/>
        </w:rPr>
        <w:t>“</w:t>
      </w:r>
      <w:r w:rsidRPr="00822ED1">
        <w:rPr>
          <w:rFonts w:ascii="Arial" w:hAnsi="Arial" w:cs="Arial"/>
          <w:sz w:val="24"/>
          <w:szCs w:val="28"/>
          <w:lang w:val="en-US"/>
        </w:rPr>
        <w:t>RussNeft</w:t>
      </w:r>
      <w:r>
        <w:rPr>
          <w:rFonts w:ascii="Arial" w:hAnsi="Arial" w:cs="Arial"/>
          <w:sz w:val="24"/>
          <w:szCs w:val="28"/>
          <w:lang w:val="en-US"/>
        </w:rPr>
        <w:t>”</w:t>
      </w:r>
      <w:r w:rsidRPr="00822ED1">
        <w:rPr>
          <w:rFonts w:ascii="Arial" w:hAnsi="Arial" w:cs="Arial"/>
          <w:sz w:val="24"/>
          <w:szCs w:val="28"/>
          <w:lang w:val="en-US"/>
        </w:rPr>
        <w:t xml:space="preserve"> in 2017.</w:t>
      </w:r>
    </w:p>
    <w:p w:rsidR="00637BF0" w:rsidRPr="00822ED1" w:rsidRDefault="00822ED1" w:rsidP="00822ED1">
      <w:pPr>
        <w:spacing w:line="360" w:lineRule="auto"/>
        <w:rPr>
          <w:rFonts w:ascii="Arial" w:hAnsi="Arial" w:cs="Arial"/>
          <w:b/>
          <w:sz w:val="28"/>
          <w:szCs w:val="28"/>
          <w:lang w:val="en-US"/>
        </w:rPr>
      </w:pPr>
      <w:r>
        <w:rPr>
          <w:rFonts w:ascii="Arial" w:hAnsi="Arial" w:cs="Arial"/>
          <w:b/>
          <w:sz w:val="28"/>
          <w:szCs w:val="28"/>
          <w:lang w:val="en-US"/>
        </w:rPr>
        <w:t>Operating results</w:t>
      </w:r>
    </w:p>
    <w:tbl>
      <w:tblPr>
        <w:tblW w:w="9123" w:type="dxa"/>
        <w:tblInd w:w="108" w:type="dxa"/>
        <w:tblLook w:val="04A0" w:firstRow="1" w:lastRow="0" w:firstColumn="1" w:lastColumn="0" w:noHBand="0" w:noVBand="1"/>
      </w:tblPr>
      <w:tblGrid>
        <w:gridCol w:w="4178"/>
        <w:gridCol w:w="1566"/>
        <w:gridCol w:w="1631"/>
        <w:gridCol w:w="1748"/>
      </w:tblGrid>
      <w:tr w:rsidR="00887FA6" w:rsidRPr="00887FA6" w:rsidTr="00887FA6">
        <w:trPr>
          <w:trHeight w:val="430"/>
        </w:trPr>
        <w:tc>
          <w:tcPr>
            <w:tcW w:w="4178" w:type="dxa"/>
            <w:tcBorders>
              <w:top w:val="nil"/>
              <w:left w:val="nil"/>
              <w:bottom w:val="single" w:sz="12" w:space="0" w:color="auto"/>
              <w:right w:val="nil"/>
            </w:tcBorders>
            <w:shd w:val="clear" w:color="auto" w:fill="auto"/>
            <w:vAlign w:val="center"/>
            <w:hideMark/>
          </w:tcPr>
          <w:p w:rsidR="00887FA6" w:rsidRPr="00822ED1" w:rsidRDefault="00822ED1" w:rsidP="00887FA6">
            <w:pPr>
              <w:spacing w:after="0" w:line="240" w:lineRule="auto"/>
              <w:rPr>
                <w:rFonts w:ascii="Calibri" w:eastAsia="Times New Roman" w:hAnsi="Calibri" w:cs="Times New Roman"/>
                <w:b/>
                <w:bCs/>
                <w:color w:val="000000"/>
                <w:sz w:val="28"/>
                <w:szCs w:val="28"/>
                <w:lang w:val="en-US" w:eastAsia="ru-RU"/>
              </w:rPr>
            </w:pPr>
            <w:r>
              <w:rPr>
                <w:rFonts w:ascii="Calibri" w:eastAsia="Times New Roman" w:hAnsi="Calibri" w:cs="Times New Roman"/>
                <w:b/>
                <w:bCs/>
                <w:color w:val="000000"/>
                <w:sz w:val="28"/>
                <w:szCs w:val="28"/>
                <w:lang w:val="en-US" w:eastAsia="ru-RU"/>
              </w:rPr>
              <w:t>Operating results</w:t>
            </w:r>
          </w:p>
        </w:tc>
        <w:tc>
          <w:tcPr>
            <w:tcW w:w="1566" w:type="dxa"/>
            <w:tcBorders>
              <w:top w:val="nil"/>
              <w:left w:val="nil"/>
              <w:bottom w:val="single" w:sz="12" w:space="0" w:color="auto"/>
              <w:right w:val="nil"/>
            </w:tcBorders>
            <w:shd w:val="clear" w:color="auto" w:fill="auto"/>
            <w:vAlign w:val="center"/>
            <w:hideMark/>
          </w:tcPr>
          <w:p w:rsidR="00887FA6" w:rsidRPr="00887FA6" w:rsidRDefault="00887FA6" w:rsidP="00822ED1">
            <w:pPr>
              <w:spacing w:after="0" w:line="240" w:lineRule="auto"/>
              <w:jc w:val="right"/>
              <w:rPr>
                <w:rFonts w:ascii="Calibri" w:eastAsia="Times New Roman" w:hAnsi="Calibri" w:cs="Times New Roman"/>
                <w:b/>
                <w:bCs/>
                <w:color w:val="000000"/>
                <w:sz w:val="28"/>
                <w:szCs w:val="28"/>
                <w:lang w:eastAsia="ru-RU"/>
              </w:rPr>
            </w:pPr>
            <w:r w:rsidRPr="00887FA6">
              <w:rPr>
                <w:rFonts w:ascii="Calibri" w:eastAsia="Times New Roman" w:hAnsi="Calibri" w:cs="Times New Roman"/>
                <w:b/>
                <w:bCs/>
                <w:color w:val="000000"/>
                <w:sz w:val="28"/>
                <w:szCs w:val="28"/>
                <w:lang w:eastAsia="ru-RU"/>
              </w:rPr>
              <w:t>2017</w:t>
            </w:r>
          </w:p>
        </w:tc>
        <w:tc>
          <w:tcPr>
            <w:tcW w:w="1631" w:type="dxa"/>
            <w:tcBorders>
              <w:top w:val="nil"/>
              <w:left w:val="nil"/>
              <w:bottom w:val="single" w:sz="12" w:space="0" w:color="auto"/>
              <w:right w:val="nil"/>
            </w:tcBorders>
            <w:shd w:val="clear" w:color="auto" w:fill="auto"/>
            <w:vAlign w:val="center"/>
            <w:hideMark/>
          </w:tcPr>
          <w:p w:rsidR="00887FA6" w:rsidRPr="00887FA6" w:rsidRDefault="00887FA6" w:rsidP="00822ED1">
            <w:pPr>
              <w:spacing w:after="0" w:line="240" w:lineRule="auto"/>
              <w:jc w:val="right"/>
              <w:rPr>
                <w:rFonts w:ascii="Calibri" w:eastAsia="Times New Roman" w:hAnsi="Calibri" w:cs="Times New Roman"/>
                <w:b/>
                <w:bCs/>
                <w:color w:val="000000"/>
                <w:sz w:val="28"/>
                <w:szCs w:val="28"/>
                <w:lang w:eastAsia="ru-RU"/>
              </w:rPr>
            </w:pPr>
            <w:r w:rsidRPr="00887FA6">
              <w:rPr>
                <w:rFonts w:ascii="Calibri" w:eastAsia="Times New Roman" w:hAnsi="Calibri" w:cs="Times New Roman"/>
                <w:b/>
                <w:bCs/>
                <w:color w:val="000000"/>
                <w:sz w:val="28"/>
                <w:szCs w:val="28"/>
                <w:lang w:eastAsia="ru-RU"/>
              </w:rPr>
              <w:t>2016</w:t>
            </w:r>
          </w:p>
        </w:tc>
        <w:tc>
          <w:tcPr>
            <w:tcW w:w="1748" w:type="dxa"/>
            <w:tcBorders>
              <w:top w:val="nil"/>
              <w:left w:val="nil"/>
              <w:bottom w:val="single" w:sz="12" w:space="0" w:color="auto"/>
              <w:right w:val="nil"/>
            </w:tcBorders>
            <w:shd w:val="clear" w:color="auto" w:fill="auto"/>
            <w:vAlign w:val="center"/>
            <w:hideMark/>
          </w:tcPr>
          <w:p w:rsidR="00887FA6" w:rsidRPr="00822ED1" w:rsidRDefault="00822ED1" w:rsidP="00822ED1">
            <w:pPr>
              <w:spacing w:after="0" w:line="240" w:lineRule="auto"/>
              <w:jc w:val="right"/>
              <w:rPr>
                <w:rFonts w:ascii="Calibri" w:eastAsia="Times New Roman" w:hAnsi="Calibri" w:cs="Times New Roman"/>
                <w:b/>
                <w:bCs/>
                <w:color w:val="000000"/>
                <w:sz w:val="28"/>
                <w:szCs w:val="28"/>
                <w:lang w:val="en-US" w:eastAsia="ru-RU"/>
              </w:rPr>
            </w:pPr>
            <w:r>
              <w:rPr>
                <w:rFonts w:ascii="Calibri" w:eastAsia="Times New Roman" w:hAnsi="Calibri" w:cs="Times New Roman"/>
                <w:b/>
                <w:bCs/>
                <w:color w:val="000000"/>
                <w:sz w:val="28"/>
                <w:szCs w:val="28"/>
                <w:lang w:val="en-US" w:eastAsia="ru-RU"/>
              </w:rPr>
              <w:t>Change</w:t>
            </w:r>
          </w:p>
        </w:tc>
      </w:tr>
      <w:tr w:rsidR="00887FA6" w:rsidRPr="00887FA6" w:rsidTr="00887FA6">
        <w:trPr>
          <w:trHeight w:val="364"/>
        </w:trPr>
        <w:tc>
          <w:tcPr>
            <w:tcW w:w="4178" w:type="dxa"/>
            <w:tcBorders>
              <w:top w:val="nil"/>
              <w:left w:val="nil"/>
              <w:bottom w:val="nil"/>
              <w:right w:val="nil"/>
            </w:tcBorders>
            <w:shd w:val="clear" w:color="auto" w:fill="auto"/>
            <w:vAlign w:val="center"/>
            <w:hideMark/>
          </w:tcPr>
          <w:p w:rsidR="00887FA6" w:rsidRPr="00822ED1" w:rsidRDefault="00822ED1" w:rsidP="00887FA6">
            <w:pPr>
              <w:spacing w:after="0" w:line="240" w:lineRule="auto"/>
              <w:rPr>
                <w:rFonts w:ascii="Calibri" w:eastAsia="Times New Roman" w:hAnsi="Calibri" w:cs="Times New Roman"/>
                <w:b/>
                <w:bCs/>
                <w:color w:val="000000"/>
                <w:sz w:val="24"/>
                <w:szCs w:val="24"/>
                <w:lang w:val="en-US" w:eastAsia="ru-RU"/>
              </w:rPr>
            </w:pPr>
            <w:r>
              <w:rPr>
                <w:rFonts w:ascii="Calibri" w:eastAsia="Times New Roman" w:hAnsi="Calibri" w:cs="Times New Roman"/>
                <w:b/>
                <w:bCs/>
                <w:color w:val="000000"/>
                <w:sz w:val="24"/>
                <w:szCs w:val="24"/>
                <w:lang w:val="en-US" w:eastAsia="ru-RU"/>
              </w:rPr>
              <w:t>Oil production</w:t>
            </w:r>
          </w:p>
        </w:tc>
        <w:tc>
          <w:tcPr>
            <w:tcW w:w="1566" w:type="dxa"/>
            <w:tcBorders>
              <w:top w:val="nil"/>
              <w:left w:val="nil"/>
              <w:bottom w:val="nil"/>
              <w:right w:val="nil"/>
            </w:tcBorders>
            <w:shd w:val="clear" w:color="auto" w:fill="auto"/>
            <w:vAlign w:val="center"/>
            <w:hideMark/>
          </w:tcPr>
          <w:p w:rsidR="00887FA6" w:rsidRPr="00887FA6" w:rsidRDefault="00887FA6" w:rsidP="00887FA6">
            <w:pPr>
              <w:spacing w:after="0" w:line="240" w:lineRule="auto"/>
              <w:jc w:val="right"/>
              <w:rPr>
                <w:rFonts w:ascii="Calibri" w:eastAsia="Times New Roman" w:hAnsi="Calibri" w:cs="Times New Roman"/>
                <w:b/>
                <w:bCs/>
                <w:color w:val="000000"/>
                <w:sz w:val="24"/>
                <w:szCs w:val="24"/>
                <w:lang w:eastAsia="ru-RU"/>
              </w:rPr>
            </w:pPr>
            <w:r w:rsidRPr="00887FA6">
              <w:rPr>
                <w:rFonts w:ascii="Calibri" w:eastAsia="Times New Roman" w:hAnsi="Calibri" w:cs="Times New Roman"/>
                <w:b/>
                <w:bCs/>
                <w:color w:val="000000"/>
                <w:sz w:val="24"/>
                <w:szCs w:val="24"/>
                <w:lang w:eastAsia="ru-RU"/>
              </w:rPr>
              <w:t>7 516</w:t>
            </w:r>
          </w:p>
        </w:tc>
        <w:tc>
          <w:tcPr>
            <w:tcW w:w="1631" w:type="dxa"/>
            <w:tcBorders>
              <w:top w:val="nil"/>
              <w:left w:val="nil"/>
              <w:bottom w:val="nil"/>
              <w:right w:val="nil"/>
            </w:tcBorders>
            <w:shd w:val="clear" w:color="auto" w:fill="auto"/>
            <w:vAlign w:val="center"/>
            <w:hideMark/>
          </w:tcPr>
          <w:p w:rsidR="00887FA6" w:rsidRPr="00887FA6" w:rsidRDefault="00887FA6" w:rsidP="00887FA6">
            <w:pPr>
              <w:spacing w:after="0" w:line="240" w:lineRule="auto"/>
              <w:jc w:val="right"/>
              <w:rPr>
                <w:rFonts w:ascii="Calibri" w:eastAsia="Times New Roman" w:hAnsi="Calibri" w:cs="Times New Roman"/>
                <w:b/>
                <w:bCs/>
                <w:color w:val="000000"/>
                <w:sz w:val="24"/>
                <w:szCs w:val="24"/>
                <w:lang w:eastAsia="ru-RU"/>
              </w:rPr>
            </w:pPr>
            <w:r w:rsidRPr="00887FA6">
              <w:rPr>
                <w:rFonts w:ascii="Calibri" w:eastAsia="Times New Roman" w:hAnsi="Calibri" w:cs="Times New Roman"/>
                <w:b/>
                <w:bCs/>
                <w:color w:val="000000"/>
                <w:sz w:val="24"/>
                <w:szCs w:val="24"/>
                <w:lang w:eastAsia="ru-RU"/>
              </w:rPr>
              <w:t>7 502</w:t>
            </w:r>
          </w:p>
        </w:tc>
        <w:tc>
          <w:tcPr>
            <w:tcW w:w="1748" w:type="dxa"/>
            <w:tcBorders>
              <w:top w:val="nil"/>
              <w:left w:val="nil"/>
              <w:bottom w:val="nil"/>
              <w:right w:val="nil"/>
            </w:tcBorders>
            <w:shd w:val="clear" w:color="auto" w:fill="auto"/>
            <w:vAlign w:val="center"/>
            <w:hideMark/>
          </w:tcPr>
          <w:p w:rsidR="00887FA6" w:rsidRPr="00887FA6" w:rsidRDefault="00887FA6" w:rsidP="00887FA6">
            <w:pPr>
              <w:spacing w:after="0" w:line="240" w:lineRule="auto"/>
              <w:jc w:val="right"/>
              <w:rPr>
                <w:rFonts w:ascii="Calibri" w:eastAsia="Times New Roman" w:hAnsi="Calibri" w:cs="Times New Roman"/>
                <w:b/>
                <w:bCs/>
                <w:color w:val="000000"/>
                <w:lang w:eastAsia="ru-RU"/>
              </w:rPr>
            </w:pPr>
            <w:r w:rsidRPr="00887FA6">
              <w:rPr>
                <w:rFonts w:ascii="Calibri" w:eastAsia="Times New Roman" w:hAnsi="Calibri" w:cs="Times New Roman"/>
                <w:b/>
                <w:bCs/>
                <w:color w:val="000000"/>
                <w:lang w:eastAsia="ru-RU"/>
              </w:rPr>
              <w:t>0%</w:t>
            </w:r>
          </w:p>
        </w:tc>
      </w:tr>
      <w:tr w:rsidR="00887FA6" w:rsidRPr="00887FA6" w:rsidTr="00887FA6">
        <w:trPr>
          <w:trHeight w:val="331"/>
        </w:trPr>
        <w:tc>
          <w:tcPr>
            <w:tcW w:w="4178" w:type="dxa"/>
            <w:tcBorders>
              <w:top w:val="nil"/>
              <w:left w:val="nil"/>
              <w:bottom w:val="nil"/>
              <w:right w:val="nil"/>
            </w:tcBorders>
            <w:shd w:val="clear" w:color="auto" w:fill="auto"/>
            <w:vAlign w:val="center"/>
            <w:hideMark/>
          </w:tcPr>
          <w:p w:rsidR="00887FA6" w:rsidRPr="00822ED1" w:rsidRDefault="00822ED1" w:rsidP="00887FA6">
            <w:pPr>
              <w:spacing w:after="0" w:line="240" w:lineRule="auto"/>
              <w:rPr>
                <w:rFonts w:ascii="Calibri" w:eastAsia="Times New Roman" w:hAnsi="Calibri" w:cs="Times New Roman"/>
                <w:i/>
                <w:iCs/>
                <w:color w:val="000000"/>
                <w:lang w:val="en-US" w:eastAsia="ru-RU"/>
              </w:rPr>
            </w:pPr>
            <w:r>
              <w:rPr>
                <w:rFonts w:ascii="Calibri" w:eastAsia="Times New Roman" w:hAnsi="Calibri" w:cs="Times New Roman"/>
                <w:i/>
                <w:iCs/>
                <w:color w:val="000000"/>
                <w:lang w:val="en-US" w:eastAsia="ru-RU"/>
              </w:rPr>
              <w:t>Oil production in RF, million tonnes</w:t>
            </w:r>
          </w:p>
        </w:tc>
        <w:tc>
          <w:tcPr>
            <w:tcW w:w="1566" w:type="dxa"/>
            <w:tcBorders>
              <w:top w:val="nil"/>
              <w:left w:val="nil"/>
              <w:bottom w:val="nil"/>
              <w:right w:val="nil"/>
            </w:tcBorders>
            <w:shd w:val="clear" w:color="auto" w:fill="auto"/>
            <w:vAlign w:val="center"/>
            <w:hideMark/>
          </w:tcPr>
          <w:p w:rsidR="00887FA6" w:rsidRPr="00887FA6" w:rsidRDefault="00887FA6" w:rsidP="00887FA6">
            <w:pPr>
              <w:spacing w:after="0" w:line="240" w:lineRule="auto"/>
              <w:jc w:val="right"/>
              <w:rPr>
                <w:rFonts w:ascii="Calibri" w:eastAsia="Times New Roman" w:hAnsi="Calibri" w:cs="Times New Roman"/>
                <w:i/>
                <w:iCs/>
                <w:color w:val="000000"/>
                <w:lang w:eastAsia="ru-RU"/>
              </w:rPr>
            </w:pPr>
            <w:r w:rsidRPr="00887FA6">
              <w:rPr>
                <w:rFonts w:ascii="Calibri" w:eastAsia="Times New Roman" w:hAnsi="Calibri" w:cs="Times New Roman"/>
                <w:i/>
                <w:iCs/>
                <w:color w:val="000000"/>
                <w:lang w:eastAsia="ru-RU"/>
              </w:rPr>
              <w:t>7 015</w:t>
            </w:r>
          </w:p>
        </w:tc>
        <w:tc>
          <w:tcPr>
            <w:tcW w:w="1631" w:type="dxa"/>
            <w:tcBorders>
              <w:top w:val="nil"/>
              <w:left w:val="nil"/>
              <w:bottom w:val="nil"/>
              <w:right w:val="nil"/>
            </w:tcBorders>
            <w:shd w:val="clear" w:color="auto" w:fill="auto"/>
            <w:vAlign w:val="center"/>
            <w:hideMark/>
          </w:tcPr>
          <w:p w:rsidR="00887FA6" w:rsidRPr="00887FA6" w:rsidRDefault="00887FA6" w:rsidP="00887FA6">
            <w:pPr>
              <w:spacing w:after="0" w:line="240" w:lineRule="auto"/>
              <w:jc w:val="right"/>
              <w:rPr>
                <w:rFonts w:ascii="Calibri" w:eastAsia="Times New Roman" w:hAnsi="Calibri" w:cs="Times New Roman"/>
                <w:color w:val="000000"/>
                <w:lang w:eastAsia="ru-RU"/>
              </w:rPr>
            </w:pPr>
            <w:r w:rsidRPr="00887FA6">
              <w:rPr>
                <w:rFonts w:ascii="Calibri" w:eastAsia="Times New Roman" w:hAnsi="Calibri" w:cs="Times New Roman"/>
                <w:color w:val="000000"/>
                <w:lang w:eastAsia="ru-RU"/>
              </w:rPr>
              <w:t>7 001</w:t>
            </w:r>
          </w:p>
        </w:tc>
        <w:tc>
          <w:tcPr>
            <w:tcW w:w="1748" w:type="dxa"/>
            <w:tcBorders>
              <w:top w:val="nil"/>
              <w:left w:val="nil"/>
              <w:bottom w:val="nil"/>
              <w:right w:val="nil"/>
            </w:tcBorders>
            <w:shd w:val="clear" w:color="auto" w:fill="auto"/>
            <w:vAlign w:val="center"/>
            <w:hideMark/>
          </w:tcPr>
          <w:p w:rsidR="00887FA6" w:rsidRPr="00887FA6" w:rsidRDefault="00887FA6" w:rsidP="00887FA6">
            <w:pPr>
              <w:spacing w:after="0" w:line="240" w:lineRule="auto"/>
              <w:jc w:val="right"/>
              <w:rPr>
                <w:rFonts w:ascii="Calibri" w:eastAsia="Times New Roman" w:hAnsi="Calibri" w:cs="Times New Roman"/>
                <w:b/>
                <w:bCs/>
                <w:color w:val="000000"/>
                <w:lang w:eastAsia="ru-RU"/>
              </w:rPr>
            </w:pPr>
            <w:r w:rsidRPr="00887FA6">
              <w:rPr>
                <w:rFonts w:ascii="Calibri" w:eastAsia="Times New Roman" w:hAnsi="Calibri" w:cs="Times New Roman"/>
                <w:b/>
                <w:bCs/>
                <w:color w:val="000000"/>
                <w:lang w:eastAsia="ru-RU"/>
              </w:rPr>
              <w:t>0%</w:t>
            </w:r>
          </w:p>
        </w:tc>
      </w:tr>
      <w:tr w:rsidR="00887FA6" w:rsidRPr="00887FA6" w:rsidTr="00033EDA">
        <w:trPr>
          <w:trHeight w:val="331"/>
        </w:trPr>
        <w:tc>
          <w:tcPr>
            <w:tcW w:w="4178" w:type="dxa"/>
            <w:tcBorders>
              <w:top w:val="nil"/>
              <w:left w:val="nil"/>
              <w:right w:val="nil"/>
            </w:tcBorders>
            <w:shd w:val="clear" w:color="auto" w:fill="auto"/>
            <w:vAlign w:val="center"/>
            <w:hideMark/>
          </w:tcPr>
          <w:p w:rsidR="00887FA6" w:rsidRPr="00CA7D08" w:rsidRDefault="00CA7D08" w:rsidP="00887FA6">
            <w:pPr>
              <w:spacing w:after="0" w:line="240" w:lineRule="auto"/>
              <w:rPr>
                <w:rFonts w:ascii="Calibri" w:eastAsia="Times New Roman" w:hAnsi="Calibri" w:cs="Times New Roman"/>
                <w:i/>
                <w:iCs/>
                <w:color w:val="000000"/>
                <w:lang w:val="en-US" w:eastAsia="ru-RU"/>
              </w:rPr>
            </w:pPr>
            <w:r>
              <w:rPr>
                <w:rFonts w:ascii="Calibri" w:eastAsia="Times New Roman" w:hAnsi="Calibri" w:cs="Times New Roman"/>
                <w:i/>
                <w:iCs/>
                <w:color w:val="000000"/>
                <w:lang w:val="en-US" w:eastAsia="ru-RU"/>
              </w:rPr>
              <w:t>Oil production under PSA’s, thousand tonnes</w:t>
            </w:r>
          </w:p>
        </w:tc>
        <w:tc>
          <w:tcPr>
            <w:tcW w:w="1566" w:type="dxa"/>
            <w:tcBorders>
              <w:top w:val="nil"/>
              <w:left w:val="nil"/>
              <w:right w:val="nil"/>
            </w:tcBorders>
            <w:shd w:val="clear" w:color="auto" w:fill="auto"/>
            <w:vAlign w:val="center"/>
            <w:hideMark/>
          </w:tcPr>
          <w:p w:rsidR="00887FA6" w:rsidRPr="00887FA6" w:rsidRDefault="00887FA6" w:rsidP="00887FA6">
            <w:pPr>
              <w:spacing w:after="0" w:line="240" w:lineRule="auto"/>
              <w:jc w:val="right"/>
              <w:rPr>
                <w:rFonts w:ascii="Calibri" w:eastAsia="Times New Roman" w:hAnsi="Calibri" w:cs="Times New Roman"/>
                <w:i/>
                <w:iCs/>
                <w:color w:val="000000"/>
                <w:lang w:eastAsia="ru-RU"/>
              </w:rPr>
            </w:pPr>
            <w:r w:rsidRPr="00887FA6">
              <w:rPr>
                <w:rFonts w:ascii="Calibri" w:eastAsia="Times New Roman" w:hAnsi="Calibri" w:cs="Times New Roman"/>
                <w:i/>
                <w:iCs/>
                <w:color w:val="000000"/>
                <w:lang w:eastAsia="ru-RU"/>
              </w:rPr>
              <w:t>501</w:t>
            </w:r>
          </w:p>
        </w:tc>
        <w:tc>
          <w:tcPr>
            <w:tcW w:w="1631" w:type="dxa"/>
            <w:tcBorders>
              <w:top w:val="nil"/>
              <w:left w:val="nil"/>
              <w:right w:val="nil"/>
            </w:tcBorders>
            <w:shd w:val="clear" w:color="auto" w:fill="auto"/>
            <w:vAlign w:val="center"/>
            <w:hideMark/>
          </w:tcPr>
          <w:p w:rsidR="00887FA6" w:rsidRPr="00887FA6" w:rsidRDefault="00887FA6" w:rsidP="00887FA6">
            <w:pPr>
              <w:spacing w:after="0" w:line="240" w:lineRule="auto"/>
              <w:jc w:val="right"/>
              <w:rPr>
                <w:rFonts w:ascii="Calibri" w:eastAsia="Times New Roman" w:hAnsi="Calibri" w:cs="Times New Roman"/>
                <w:color w:val="000000"/>
                <w:lang w:eastAsia="ru-RU"/>
              </w:rPr>
            </w:pPr>
            <w:r w:rsidRPr="00887FA6">
              <w:rPr>
                <w:rFonts w:ascii="Calibri" w:eastAsia="Times New Roman" w:hAnsi="Calibri" w:cs="Times New Roman"/>
                <w:color w:val="000000"/>
                <w:lang w:eastAsia="ru-RU"/>
              </w:rPr>
              <w:t>501</w:t>
            </w:r>
          </w:p>
        </w:tc>
        <w:tc>
          <w:tcPr>
            <w:tcW w:w="1748" w:type="dxa"/>
            <w:tcBorders>
              <w:top w:val="nil"/>
              <w:left w:val="nil"/>
              <w:right w:val="nil"/>
            </w:tcBorders>
            <w:shd w:val="clear" w:color="auto" w:fill="auto"/>
            <w:vAlign w:val="center"/>
            <w:hideMark/>
          </w:tcPr>
          <w:p w:rsidR="00887FA6" w:rsidRPr="00887FA6" w:rsidRDefault="00887FA6" w:rsidP="00887FA6">
            <w:pPr>
              <w:spacing w:after="0" w:line="240" w:lineRule="auto"/>
              <w:jc w:val="right"/>
              <w:rPr>
                <w:rFonts w:ascii="Calibri" w:eastAsia="Times New Roman" w:hAnsi="Calibri" w:cs="Times New Roman"/>
                <w:b/>
                <w:bCs/>
                <w:color w:val="000000"/>
                <w:lang w:eastAsia="ru-RU"/>
              </w:rPr>
            </w:pPr>
            <w:r w:rsidRPr="00887FA6">
              <w:rPr>
                <w:rFonts w:ascii="Calibri" w:eastAsia="Times New Roman" w:hAnsi="Calibri" w:cs="Times New Roman"/>
                <w:b/>
                <w:bCs/>
                <w:color w:val="000000"/>
                <w:lang w:eastAsia="ru-RU"/>
              </w:rPr>
              <w:t>0%</w:t>
            </w:r>
          </w:p>
        </w:tc>
      </w:tr>
      <w:tr w:rsidR="00887FA6" w:rsidRPr="00887FA6" w:rsidTr="00033EDA">
        <w:trPr>
          <w:trHeight w:val="331"/>
        </w:trPr>
        <w:tc>
          <w:tcPr>
            <w:tcW w:w="4178" w:type="dxa"/>
            <w:tcBorders>
              <w:top w:val="nil"/>
              <w:left w:val="nil"/>
              <w:bottom w:val="single" w:sz="12" w:space="0" w:color="auto"/>
              <w:right w:val="nil"/>
            </w:tcBorders>
            <w:shd w:val="clear" w:color="auto" w:fill="auto"/>
            <w:vAlign w:val="center"/>
            <w:hideMark/>
          </w:tcPr>
          <w:p w:rsidR="00887FA6" w:rsidRPr="00CA7D08" w:rsidRDefault="00CA7D08" w:rsidP="00887FA6">
            <w:pPr>
              <w:spacing w:after="0" w:line="240" w:lineRule="auto"/>
              <w:rPr>
                <w:rFonts w:ascii="Calibri" w:eastAsia="Times New Roman" w:hAnsi="Calibri" w:cs="Times New Roman"/>
                <w:i/>
                <w:iCs/>
                <w:color w:val="000000"/>
                <w:lang w:val="en-US" w:eastAsia="ru-RU"/>
              </w:rPr>
            </w:pPr>
            <w:r>
              <w:rPr>
                <w:rFonts w:ascii="Calibri" w:eastAsia="Times New Roman" w:hAnsi="Calibri" w:cs="Times New Roman"/>
                <w:i/>
                <w:iCs/>
                <w:color w:val="000000"/>
                <w:lang w:val="en-US" w:eastAsia="ru-RU"/>
              </w:rPr>
              <w:t>Gas production, m3</w:t>
            </w:r>
          </w:p>
        </w:tc>
        <w:tc>
          <w:tcPr>
            <w:tcW w:w="1566" w:type="dxa"/>
            <w:tcBorders>
              <w:top w:val="nil"/>
              <w:left w:val="nil"/>
              <w:bottom w:val="single" w:sz="12" w:space="0" w:color="auto"/>
              <w:right w:val="nil"/>
            </w:tcBorders>
            <w:shd w:val="clear" w:color="auto" w:fill="auto"/>
            <w:vAlign w:val="center"/>
            <w:hideMark/>
          </w:tcPr>
          <w:p w:rsidR="00887FA6" w:rsidRPr="00887FA6" w:rsidRDefault="00157349" w:rsidP="00887FA6">
            <w:pPr>
              <w:spacing w:after="0" w:line="240" w:lineRule="auto"/>
              <w:jc w:val="right"/>
              <w:rPr>
                <w:rFonts w:ascii="Calibri" w:eastAsia="Times New Roman" w:hAnsi="Calibri" w:cs="Times New Roman"/>
                <w:i/>
                <w:iCs/>
                <w:color w:val="000000"/>
                <w:lang w:eastAsia="ru-RU"/>
              </w:rPr>
            </w:pPr>
            <w:r>
              <w:rPr>
                <w:rFonts w:ascii="Calibri" w:eastAsia="Times New Roman" w:hAnsi="Calibri" w:cs="Times New Roman"/>
                <w:i/>
                <w:iCs/>
                <w:color w:val="000000"/>
                <w:lang w:eastAsia="ru-RU"/>
              </w:rPr>
              <w:t>2 448</w:t>
            </w:r>
          </w:p>
        </w:tc>
        <w:tc>
          <w:tcPr>
            <w:tcW w:w="1631" w:type="dxa"/>
            <w:tcBorders>
              <w:top w:val="nil"/>
              <w:left w:val="nil"/>
              <w:bottom w:val="single" w:sz="12" w:space="0" w:color="auto"/>
              <w:right w:val="nil"/>
            </w:tcBorders>
            <w:shd w:val="clear" w:color="auto" w:fill="auto"/>
            <w:vAlign w:val="center"/>
            <w:hideMark/>
          </w:tcPr>
          <w:p w:rsidR="00887FA6" w:rsidRPr="00033EDA" w:rsidRDefault="00157349" w:rsidP="00157349">
            <w:pPr>
              <w:spacing w:after="0" w:line="240" w:lineRule="auto"/>
              <w:jc w:val="right"/>
              <w:rPr>
                <w:rFonts w:ascii="Calibri" w:eastAsia="Times New Roman" w:hAnsi="Calibri" w:cs="Times New Roman"/>
                <w:i/>
                <w:iCs/>
                <w:color w:val="000000"/>
                <w:lang w:eastAsia="ru-RU"/>
              </w:rPr>
            </w:pPr>
            <w:r w:rsidRPr="00033EDA">
              <w:rPr>
                <w:rFonts w:ascii="Calibri" w:eastAsia="Times New Roman" w:hAnsi="Calibri" w:cs="Times New Roman"/>
                <w:i/>
                <w:iCs/>
                <w:color w:val="000000"/>
                <w:lang w:eastAsia="ru-RU"/>
              </w:rPr>
              <w:t xml:space="preserve">2 </w:t>
            </w:r>
            <w:r w:rsidR="00887FA6" w:rsidRPr="00033EDA">
              <w:rPr>
                <w:rFonts w:ascii="Calibri" w:eastAsia="Times New Roman" w:hAnsi="Calibri" w:cs="Times New Roman"/>
                <w:i/>
                <w:iCs/>
                <w:color w:val="000000"/>
                <w:lang w:eastAsia="ru-RU"/>
              </w:rPr>
              <w:t>47</w:t>
            </w:r>
            <w:r w:rsidRPr="00033EDA">
              <w:rPr>
                <w:rFonts w:ascii="Calibri" w:eastAsia="Times New Roman" w:hAnsi="Calibri" w:cs="Times New Roman"/>
                <w:i/>
                <w:iCs/>
                <w:color w:val="000000"/>
                <w:lang w:eastAsia="ru-RU"/>
              </w:rPr>
              <w:t>9</w:t>
            </w:r>
          </w:p>
        </w:tc>
        <w:tc>
          <w:tcPr>
            <w:tcW w:w="1748" w:type="dxa"/>
            <w:tcBorders>
              <w:top w:val="nil"/>
              <w:left w:val="nil"/>
              <w:bottom w:val="single" w:sz="12" w:space="0" w:color="auto"/>
              <w:right w:val="nil"/>
            </w:tcBorders>
            <w:shd w:val="clear" w:color="auto" w:fill="auto"/>
            <w:vAlign w:val="center"/>
            <w:hideMark/>
          </w:tcPr>
          <w:p w:rsidR="00887FA6" w:rsidRPr="00033EDA" w:rsidRDefault="00157349" w:rsidP="00157349">
            <w:pPr>
              <w:spacing w:after="0" w:line="240" w:lineRule="auto"/>
              <w:jc w:val="right"/>
              <w:rPr>
                <w:rFonts w:ascii="Calibri" w:eastAsia="Times New Roman" w:hAnsi="Calibri" w:cs="Times New Roman"/>
                <w:i/>
                <w:iCs/>
                <w:color w:val="000000"/>
                <w:lang w:eastAsia="ru-RU"/>
              </w:rPr>
            </w:pPr>
            <w:r w:rsidRPr="00033EDA">
              <w:rPr>
                <w:rFonts w:ascii="Calibri" w:eastAsia="Times New Roman" w:hAnsi="Calibri" w:cs="Times New Roman"/>
                <w:i/>
                <w:iCs/>
                <w:color w:val="000000"/>
                <w:lang w:eastAsia="ru-RU"/>
              </w:rPr>
              <w:t>0</w:t>
            </w:r>
            <w:r w:rsidR="00887FA6" w:rsidRPr="00033EDA">
              <w:rPr>
                <w:rFonts w:ascii="Calibri" w:eastAsia="Times New Roman" w:hAnsi="Calibri" w:cs="Times New Roman"/>
                <w:i/>
                <w:iCs/>
                <w:color w:val="000000"/>
                <w:lang w:eastAsia="ru-RU"/>
              </w:rPr>
              <w:t>%</w:t>
            </w:r>
          </w:p>
        </w:tc>
      </w:tr>
    </w:tbl>
    <w:p w:rsidR="00DB059E" w:rsidRDefault="00DB059E" w:rsidP="00637BF0">
      <w:pPr>
        <w:jc w:val="both"/>
        <w:rPr>
          <w:rFonts w:ascii="Arial" w:hAnsi="Arial" w:cs="Arial"/>
          <w:b/>
          <w:sz w:val="28"/>
          <w:szCs w:val="28"/>
        </w:rPr>
      </w:pPr>
    </w:p>
    <w:p w:rsidR="00CA7D08" w:rsidRDefault="00CA7D08" w:rsidP="00924EDA">
      <w:pPr>
        <w:spacing w:line="360" w:lineRule="auto"/>
        <w:jc w:val="both"/>
        <w:rPr>
          <w:rFonts w:ascii="Arial" w:hAnsi="Arial" w:cs="Arial"/>
          <w:sz w:val="24"/>
          <w:szCs w:val="28"/>
          <w:lang w:val="en-US"/>
        </w:rPr>
      </w:pPr>
      <w:r w:rsidRPr="00CA7D08">
        <w:rPr>
          <w:rFonts w:ascii="Arial" w:hAnsi="Arial" w:cs="Arial"/>
          <w:sz w:val="24"/>
          <w:szCs w:val="28"/>
          <w:lang w:val="en-US"/>
        </w:rPr>
        <w:t xml:space="preserve">The volume of oil and gas production in 2017 was at the level of 2016. Management's efforts were aimed at maintaining the current rate of hydrocarbon production, as well as </w:t>
      </w:r>
      <w:r w:rsidRPr="00CA7D08">
        <w:rPr>
          <w:rFonts w:ascii="Arial" w:hAnsi="Arial" w:cs="Arial"/>
          <w:sz w:val="24"/>
          <w:szCs w:val="28"/>
          <w:lang w:val="en-US"/>
        </w:rPr>
        <w:lastRenderedPageBreak/>
        <w:t>reducing costs by involving high margin reserves in the development. Thus, the share of high-m</w:t>
      </w:r>
      <w:r>
        <w:rPr>
          <w:rFonts w:ascii="Arial" w:hAnsi="Arial" w:cs="Arial"/>
          <w:sz w:val="24"/>
          <w:szCs w:val="28"/>
          <w:lang w:val="en-US"/>
        </w:rPr>
        <w:t>argin oil in the volume of the C</w:t>
      </w:r>
      <w:r w:rsidRPr="00CA7D08">
        <w:rPr>
          <w:rFonts w:ascii="Arial" w:hAnsi="Arial" w:cs="Arial"/>
          <w:sz w:val="24"/>
          <w:szCs w:val="28"/>
          <w:lang w:val="en-US"/>
        </w:rPr>
        <w:t>ompany's production amounted to about 34% in the reporting year</w:t>
      </w:r>
      <w:r>
        <w:rPr>
          <w:rFonts w:ascii="Arial" w:hAnsi="Arial" w:cs="Arial"/>
          <w:sz w:val="24"/>
          <w:szCs w:val="28"/>
          <w:lang w:val="en-US"/>
        </w:rPr>
        <w:t>.</w:t>
      </w:r>
    </w:p>
    <w:p w:rsidR="00271BFD" w:rsidRPr="00CA7D08" w:rsidRDefault="00CA7D08" w:rsidP="00CA7D08">
      <w:pPr>
        <w:spacing w:line="360" w:lineRule="auto"/>
        <w:rPr>
          <w:rFonts w:ascii="Arial" w:hAnsi="Arial" w:cs="Arial"/>
          <w:b/>
          <w:sz w:val="28"/>
          <w:szCs w:val="28"/>
          <w:lang w:val="en-US"/>
        </w:rPr>
      </w:pPr>
      <w:r>
        <w:rPr>
          <w:rFonts w:ascii="Arial" w:hAnsi="Arial" w:cs="Arial"/>
          <w:b/>
          <w:sz w:val="28"/>
          <w:szCs w:val="28"/>
          <w:lang w:val="en-US"/>
        </w:rPr>
        <w:t>Capital investments</w:t>
      </w:r>
    </w:p>
    <w:tbl>
      <w:tblPr>
        <w:tblW w:w="8820" w:type="dxa"/>
        <w:tblInd w:w="108" w:type="dxa"/>
        <w:tblLook w:val="04A0" w:firstRow="1" w:lastRow="0" w:firstColumn="1" w:lastColumn="0" w:noHBand="0" w:noVBand="1"/>
      </w:tblPr>
      <w:tblGrid>
        <w:gridCol w:w="3800"/>
        <w:gridCol w:w="1780"/>
        <w:gridCol w:w="1520"/>
        <w:gridCol w:w="1720"/>
      </w:tblGrid>
      <w:tr w:rsidR="00B55AA0" w:rsidRPr="00B55AA0" w:rsidTr="00B55AA0">
        <w:trPr>
          <w:trHeight w:val="660"/>
        </w:trPr>
        <w:tc>
          <w:tcPr>
            <w:tcW w:w="3800" w:type="dxa"/>
            <w:tcBorders>
              <w:top w:val="single" w:sz="12" w:space="0" w:color="auto"/>
              <w:left w:val="nil"/>
              <w:bottom w:val="single" w:sz="12" w:space="0" w:color="auto"/>
              <w:right w:val="nil"/>
            </w:tcBorders>
            <w:shd w:val="clear" w:color="auto" w:fill="auto"/>
            <w:vAlign w:val="center"/>
            <w:hideMark/>
          </w:tcPr>
          <w:p w:rsidR="00B55AA0" w:rsidRPr="00CA7D08" w:rsidRDefault="00CA7D08" w:rsidP="00F42BB4">
            <w:pPr>
              <w:spacing w:after="0" w:line="240" w:lineRule="auto"/>
              <w:rPr>
                <w:rFonts w:ascii="Calibri" w:eastAsia="Times New Roman" w:hAnsi="Calibri" w:cs="Times New Roman"/>
                <w:b/>
                <w:bCs/>
                <w:color w:val="000000"/>
                <w:sz w:val="24"/>
                <w:szCs w:val="24"/>
                <w:lang w:val="en-US" w:eastAsia="ru-RU"/>
              </w:rPr>
            </w:pPr>
            <w:r>
              <w:rPr>
                <w:rFonts w:ascii="Calibri" w:eastAsia="Times New Roman" w:hAnsi="Calibri" w:cs="Times New Roman"/>
                <w:b/>
                <w:bCs/>
                <w:color w:val="000000"/>
                <w:sz w:val="24"/>
                <w:szCs w:val="24"/>
                <w:lang w:val="en-US" w:eastAsia="ru-RU"/>
              </w:rPr>
              <w:t>Capital investments (application), RUB billion</w:t>
            </w:r>
          </w:p>
        </w:tc>
        <w:tc>
          <w:tcPr>
            <w:tcW w:w="1780" w:type="dxa"/>
            <w:tcBorders>
              <w:top w:val="single" w:sz="12" w:space="0" w:color="auto"/>
              <w:left w:val="nil"/>
              <w:bottom w:val="single" w:sz="12" w:space="0" w:color="auto"/>
              <w:right w:val="nil"/>
            </w:tcBorders>
            <w:shd w:val="clear" w:color="auto" w:fill="auto"/>
            <w:vAlign w:val="center"/>
            <w:hideMark/>
          </w:tcPr>
          <w:p w:rsidR="00B55AA0" w:rsidRPr="00B55AA0" w:rsidRDefault="00B55AA0" w:rsidP="00F42BB4">
            <w:pPr>
              <w:spacing w:after="0" w:line="240" w:lineRule="auto"/>
              <w:jc w:val="right"/>
              <w:rPr>
                <w:rFonts w:ascii="Calibri" w:eastAsia="Times New Roman" w:hAnsi="Calibri" w:cs="Times New Roman"/>
                <w:b/>
                <w:bCs/>
                <w:color w:val="000000"/>
                <w:sz w:val="24"/>
                <w:szCs w:val="24"/>
                <w:lang w:eastAsia="ru-RU"/>
              </w:rPr>
            </w:pPr>
            <w:r w:rsidRPr="00B55AA0">
              <w:rPr>
                <w:rFonts w:ascii="Calibri" w:eastAsia="Times New Roman" w:hAnsi="Calibri" w:cs="Times New Roman"/>
                <w:b/>
                <w:bCs/>
                <w:color w:val="000000"/>
                <w:sz w:val="24"/>
                <w:szCs w:val="24"/>
                <w:lang w:eastAsia="ru-RU"/>
              </w:rPr>
              <w:t>25</w:t>
            </w:r>
            <w:r w:rsidR="00CA7D08">
              <w:rPr>
                <w:rFonts w:ascii="Calibri" w:eastAsia="Times New Roman" w:hAnsi="Calibri" w:cs="Times New Roman"/>
                <w:b/>
                <w:bCs/>
                <w:color w:val="000000"/>
                <w:sz w:val="24"/>
                <w:szCs w:val="24"/>
                <w:lang w:eastAsia="ru-RU"/>
              </w:rPr>
              <w:t>.</w:t>
            </w:r>
            <w:r w:rsidR="00F42BB4">
              <w:rPr>
                <w:rFonts w:ascii="Calibri" w:eastAsia="Times New Roman" w:hAnsi="Calibri" w:cs="Times New Roman"/>
                <w:b/>
                <w:bCs/>
                <w:color w:val="000000"/>
                <w:sz w:val="24"/>
                <w:szCs w:val="24"/>
                <w:lang w:eastAsia="ru-RU"/>
              </w:rPr>
              <w:t>7</w:t>
            </w:r>
            <w:r w:rsidRPr="00B55AA0">
              <w:rPr>
                <w:rFonts w:ascii="Calibri" w:eastAsia="Times New Roman" w:hAnsi="Calibri" w:cs="Times New Roman"/>
                <w:b/>
                <w:bCs/>
                <w:color w:val="000000"/>
                <w:sz w:val="24"/>
                <w:szCs w:val="24"/>
                <w:lang w:eastAsia="ru-RU"/>
              </w:rPr>
              <w:t xml:space="preserve"> </w:t>
            </w:r>
          </w:p>
        </w:tc>
        <w:tc>
          <w:tcPr>
            <w:tcW w:w="1520" w:type="dxa"/>
            <w:tcBorders>
              <w:top w:val="single" w:sz="12" w:space="0" w:color="auto"/>
              <w:left w:val="nil"/>
              <w:bottom w:val="single" w:sz="12" w:space="0" w:color="auto"/>
              <w:right w:val="nil"/>
            </w:tcBorders>
            <w:shd w:val="clear" w:color="auto" w:fill="auto"/>
            <w:vAlign w:val="center"/>
            <w:hideMark/>
          </w:tcPr>
          <w:p w:rsidR="00B55AA0" w:rsidRPr="00B55AA0" w:rsidRDefault="00B55AA0" w:rsidP="00F42BB4">
            <w:pPr>
              <w:spacing w:after="0" w:line="240" w:lineRule="auto"/>
              <w:jc w:val="right"/>
              <w:rPr>
                <w:rFonts w:ascii="Calibri" w:eastAsia="Times New Roman" w:hAnsi="Calibri" w:cs="Times New Roman"/>
                <w:b/>
                <w:bCs/>
                <w:color w:val="000000"/>
                <w:sz w:val="24"/>
                <w:szCs w:val="24"/>
                <w:lang w:eastAsia="ru-RU"/>
              </w:rPr>
            </w:pPr>
            <w:r w:rsidRPr="00B55AA0">
              <w:rPr>
                <w:rFonts w:ascii="Calibri" w:eastAsia="Times New Roman" w:hAnsi="Calibri" w:cs="Times New Roman"/>
                <w:b/>
                <w:bCs/>
                <w:color w:val="000000"/>
                <w:sz w:val="24"/>
                <w:szCs w:val="24"/>
                <w:lang w:eastAsia="ru-RU"/>
              </w:rPr>
              <w:t>17</w:t>
            </w:r>
            <w:r w:rsidR="00CA7D08">
              <w:rPr>
                <w:rFonts w:ascii="Calibri" w:eastAsia="Times New Roman" w:hAnsi="Calibri" w:cs="Times New Roman"/>
                <w:b/>
                <w:bCs/>
                <w:color w:val="000000"/>
                <w:sz w:val="24"/>
                <w:szCs w:val="24"/>
                <w:lang w:eastAsia="ru-RU"/>
              </w:rPr>
              <w:t>.</w:t>
            </w:r>
            <w:r w:rsidRPr="00B55AA0">
              <w:rPr>
                <w:rFonts w:ascii="Calibri" w:eastAsia="Times New Roman" w:hAnsi="Calibri" w:cs="Times New Roman"/>
                <w:b/>
                <w:bCs/>
                <w:color w:val="000000"/>
                <w:sz w:val="24"/>
                <w:szCs w:val="24"/>
                <w:lang w:eastAsia="ru-RU"/>
              </w:rPr>
              <w:t>3</w:t>
            </w:r>
          </w:p>
        </w:tc>
        <w:tc>
          <w:tcPr>
            <w:tcW w:w="1720" w:type="dxa"/>
            <w:tcBorders>
              <w:top w:val="single" w:sz="12" w:space="0" w:color="auto"/>
              <w:left w:val="nil"/>
              <w:bottom w:val="single" w:sz="12" w:space="0" w:color="auto"/>
              <w:right w:val="nil"/>
            </w:tcBorders>
            <w:shd w:val="clear" w:color="auto" w:fill="auto"/>
            <w:vAlign w:val="center"/>
            <w:hideMark/>
          </w:tcPr>
          <w:p w:rsidR="00B55AA0" w:rsidRPr="00B55AA0" w:rsidRDefault="00B55AA0" w:rsidP="00B55AA0">
            <w:pPr>
              <w:spacing w:after="0" w:line="240" w:lineRule="auto"/>
              <w:jc w:val="right"/>
              <w:rPr>
                <w:rFonts w:ascii="Calibri" w:eastAsia="Times New Roman" w:hAnsi="Calibri" w:cs="Times New Roman"/>
                <w:b/>
                <w:bCs/>
                <w:color w:val="000000"/>
                <w:sz w:val="24"/>
                <w:szCs w:val="24"/>
                <w:lang w:eastAsia="ru-RU"/>
              </w:rPr>
            </w:pPr>
            <w:r w:rsidRPr="00B55AA0">
              <w:rPr>
                <w:rFonts w:ascii="Calibri" w:eastAsia="Times New Roman" w:hAnsi="Calibri" w:cs="Times New Roman"/>
                <w:b/>
                <w:bCs/>
                <w:color w:val="000000"/>
                <w:sz w:val="24"/>
                <w:szCs w:val="24"/>
                <w:lang w:eastAsia="ru-RU"/>
              </w:rPr>
              <w:t>48%</w:t>
            </w:r>
          </w:p>
        </w:tc>
      </w:tr>
      <w:tr w:rsidR="00B55AA0" w:rsidRPr="00B55AA0" w:rsidTr="00B55AA0">
        <w:trPr>
          <w:trHeight w:val="330"/>
        </w:trPr>
        <w:tc>
          <w:tcPr>
            <w:tcW w:w="3800" w:type="dxa"/>
            <w:tcBorders>
              <w:top w:val="nil"/>
              <w:left w:val="nil"/>
              <w:bottom w:val="nil"/>
              <w:right w:val="nil"/>
            </w:tcBorders>
            <w:shd w:val="clear" w:color="auto" w:fill="auto"/>
            <w:vAlign w:val="center"/>
            <w:hideMark/>
          </w:tcPr>
          <w:p w:rsidR="00B55AA0" w:rsidRPr="00CA7D08" w:rsidRDefault="00CA7D08" w:rsidP="00B55AA0">
            <w:pPr>
              <w:spacing w:after="0" w:line="240" w:lineRule="auto"/>
              <w:rPr>
                <w:rFonts w:ascii="Calibri" w:eastAsia="Times New Roman" w:hAnsi="Calibri" w:cs="Times New Roman"/>
                <w:color w:val="000000"/>
                <w:lang w:val="en-US" w:eastAsia="ru-RU"/>
              </w:rPr>
            </w:pPr>
            <w:r>
              <w:rPr>
                <w:rFonts w:ascii="Calibri" w:eastAsia="Times New Roman" w:hAnsi="Calibri" w:cs="Times New Roman"/>
                <w:color w:val="000000"/>
                <w:lang w:val="en-US" w:eastAsia="ru-RU"/>
              </w:rPr>
              <w:t>PRODUCTION DRILLING</w:t>
            </w:r>
          </w:p>
        </w:tc>
        <w:tc>
          <w:tcPr>
            <w:tcW w:w="1780" w:type="dxa"/>
            <w:tcBorders>
              <w:top w:val="nil"/>
              <w:left w:val="nil"/>
              <w:bottom w:val="nil"/>
              <w:right w:val="nil"/>
            </w:tcBorders>
            <w:shd w:val="clear" w:color="auto" w:fill="auto"/>
            <w:noWrap/>
            <w:vAlign w:val="bottom"/>
            <w:hideMark/>
          </w:tcPr>
          <w:p w:rsidR="00B55AA0" w:rsidRPr="00B55AA0" w:rsidRDefault="00B55AA0" w:rsidP="00033EDA">
            <w:pPr>
              <w:spacing w:after="0" w:line="240" w:lineRule="auto"/>
              <w:jc w:val="right"/>
              <w:rPr>
                <w:rFonts w:ascii="Calibri" w:eastAsia="Times New Roman" w:hAnsi="Calibri" w:cs="Times New Roman"/>
                <w:color w:val="000000"/>
                <w:lang w:eastAsia="ru-RU"/>
              </w:rPr>
            </w:pPr>
            <w:r w:rsidRPr="00B55AA0">
              <w:rPr>
                <w:rFonts w:ascii="Calibri" w:eastAsia="Times New Roman" w:hAnsi="Calibri" w:cs="Times New Roman"/>
                <w:color w:val="000000"/>
                <w:lang w:eastAsia="ru-RU"/>
              </w:rPr>
              <w:t>18</w:t>
            </w:r>
            <w:r w:rsidR="00CA7D08">
              <w:rPr>
                <w:rFonts w:ascii="Calibri" w:eastAsia="Times New Roman" w:hAnsi="Calibri" w:cs="Times New Roman"/>
                <w:color w:val="000000"/>
                <w:lang w:eastAsia="ru-RU"/>
              </w:rPr>
              <w:t>.</w:t>
            </w:r>
            <w:r w:rsidR="00033EDA">
              <w:rPr>
                <w:rFonts w:ascii="Calibri" w:eastAsia="Times New Roman" w:hAnsi="Calibri" w:cs="Times New Roman"/>
                <w:color w:val="000000"/>
                <w:lang w:eastAsia="ru-RU"/>
              </w:rPr>
              <w:t>6</w:t>
            </w:r>
            <w:r w:rsidRPr="00B55AA0">
              <w:rPr>
                <w:rFonts w:ascii="Calibri" w:eastAsia="Times New Roman" w:hAnsi="Calibri" w:cs="Times New Roman"/>
                <w:color w:val="000000"/>
                <w:lang w:eastAsia="ru-RU"/>
              </w:rPr>
              <w:t xml:space="preserve"> </w:t>
            </w:r>
          </w:p>
        </w:tc>
        <w:tc>
          <w:tcPr>
            <w:tcW w:w="1520" w:type="dxa"/>
            <w:tcBorders>
              <w:top w:val="nil"/>
              <w:left w:val="nil"/>
              <w:bottom w:val="nil"/>
              <w:right w:val="nil"/>
            </w:tcBorders>
            <w:shd w:val="clear" w:color="auto" w:fill="auto"/>
            <w:noWrap/>
            <w:vAlign w:val="bottom"/>
            <w:hideMark/>
          </w:tcPr>
          <w:p w:rsidR="00B55AA0" w:rsidRPr="00B55AA0" w:rsidRDefault="00B55AA0" w:rsidP="00F42BB4">
            <w:pPr>
              <w:spacing w:after="0" w:line="240" w:lineRule="auto"/>
              <w:jc w:val="right"/>
              <w:rPr>
                <w:rFonts w:ascii="Calibri" w:eastAsia="Times New Roman" w:hAnsi="Calibri" w:cs="Times New Roman"/>
                <w:color w:val="000000"/>
                <w:lang w:eastAsia="ru-RU"/>
              </w:rPr>
            </w:pPr>
            <w:r w:rsidRPr="00B55AA0">
              <w:rPr>
                <w:rFonts w:ascii="Calibri" w:eastAsia="Times New Roman" w:hAnsi="Calibri" w:cs="Times New Roman"/>
                <w:color w:val="000000"/>
                <w:lang w:eastAsia="ru-RU"/>
              </w:rPr>
              <w:t>12</w:t>
            </w:r>
            <w:r w:rsidR="00CA7D08">
              <w:rPr>
                <w:rFonts w:ascii="Calibri" w:eastAsia="Times New Roman" w:hAnsi="Calibri" w:cs="Times New Roman"/>
                <w:color w:val="000000"/>
                <w:lang w:eastAsia="ru-RU"/>
              </w:rPr>
              <w:t>.</w:t>
            </w:r>
            <w:r w:rsidR="00F42BB4">
              <w:rPr>
                <w:rFonts w:ascii="Calibri" w:eastAsia="Times New Roman" w:hAnsi="Calibri" w:cs="Times New Roman"/>
                <w:color w:val="000000"/>
                <w:lang w:eastAsia="ru-RU"/>
              </w:rPr>
              <w:t>9</w:t>
            </w:r>
          </w:p>
        </w:tc>
        <w:tc>
          <w:tcPr>
            <w:tcW w:w="1720" w:type="dxa"/>
            <w:tcBorders>
              <w:top w:val="nil"/>
              <w:left w:val="nil"/>
              <w:bottom w:val="nil"/>
              <w:right w:val="nil"/>
            </w:tcBorders>
            <w:shd w:val="clear" w:color="auto" w:fill="auto"/>
            <w:vAlign w:val="center"/>
            <w:hideMark/>
          </w:tcPr>
          <w:p w:rsidR="00B55AA0" w:rsidRPr="00B55AA0" w:rsidRDefault="00B55AA0" w:rsidP="00B55AA0">
            <w:pPr>
              <w:spacing w:after="0" w:line="240" w:lineRule="auto"/>
              <w:jc w:val="right"/>
              <w:rPr>
                <w:rFonts w:ascii="Calibri" w:eastAsia="Times New Roman" w:hAnsi="Calibri" w:cs="Times New Roman"/>
                <w:b/>
                <w:bCs/>
                <w:color w:val="000000"/>
                <w:lang w:eastAsia="ru-RU"/>
              </w:rPr>
            </w:pPr>
            <w:r w:rsidRPr="00B55AA0">
              <w:rPr>
                <w:rFonts w:ascii="Calibri" w:eastAsia="Times New Roman" w:hAnsi="Calibri" w:cs="Times New Roman"/>
                <w:b/>
                <w:bCs/>
                <w:color w:val="000000"/>
                <w:lang w:eastAsia="ru-RU"/>
              </w:rPr>
              <w:t>44%</w:t>
            </w:r>
          </w:p>
        </w:tc>
      </w:tr>
      <w:tr w:rsidR="00B55AA0" w:rsidRPr="00B55AA0" w:rsidTr="00B55AA0">
        <w:trPr>
          <w:trHeight w:val="345"/>
        </w:trPr>
        <w:tc>
          <w:tcPr>
            <w:tcW w:w="3800" w:type="dxa"/>
            <w:tcBorders>
              <w:top w:val="nil"/>
              <w:left w:val="nil"/>
              <w:bottom w:val="nil"/>
              <w:right w:val="nil"/>
            </w:tcBorders>
            <w:shd w:val="clear" w:color="auto" w:fill="auto"/>
            <w:vAlign w:val="center"/>
            <w:hideMark/>
          </w:tcPr>
          <w:p w:rsidR="00B55AA0" w:rsidRPr="00CA7D08" w:rsidRDefault="00CA7D08" w:rsidP="00B55AA0">
            <w:pPr>
              <w:spacing w:after="0" w:line="240" w:lineRule="auto"/>
              <w:rPr>
                <w:rFonts w:ascii="Calibri" w:eastAsia="Times New Roman" w:hAnsi="Calibri" w:cs="Times New Roman"/>
                <w:color w:val="000000"/>
                <w:lang w:val="en-US" w:eastAsia="ru-RU"/>
              </w:rPr>
            </w:pPr>
            <w:r>
              <w:rPr>
                <w:rFonts w:ascii="Calibri" w:eastAsia="Times New Roman" w:hAnsi="Calibri" w:cs="Times New Roman"/>
                <w:color w:val="000000"/>
                <w:lang w:val="en-US" w:eastAsia="ru-RU"/>
              </w:rPr>
              <w:t>BASIC PRODUCTION</w:t>
            </w:r>
          </w:p>
        </w:tc>
        <w:tc>
          <w:tcPr>
            <w:tcW w:w="1780" w:type="dxa"/>
            <w:tcBorders>
              <w:top w:val="nil"/>
              <w:left w:val="nil"/>
              <w:bottom w:val="nil"/>
              <w:right w:val="nil"/>
            </w:tcBorders>
            <w:shd w:val="clear" w:color="auto" w:fill="auto"/>
            <w:noWrap/>
            <w:vAlign w:val="bottom"/>
            <w:hideMark/>
          </w:tcPr>
          <w:p w:rsidR="00B55AA0" w:rsidRPr="00B55AA0" w:rsidRDefault="00CA7D08" w:rsidP="00033EDA">
            <w:pPr>
              <w:spacing w:after="0" w:line="240" w:lineRule="auto"/>
              <w:jc w:val="right"/>
              <w:rPr>
                <w:rFonts w:ascii="Calibri" w:eastAsia="Times New Roman" w:hAnsi="Calibri" w:cs="Times New Roman"/>
                <w:color w:val="000000"/>
                <w:lang w:eastAsia="ru-RU"/>
              </w:rPr>
            </w:pPr>
            <w:r>
              <w:rPr>
                <w:rFonts w:ascii="Calibri" w:eastAsia="Times New Roman" w:hAnsi="Calibri" w:cs="Times New Roman"/>
                <w:color w:val="000000"/>
                <w:lang w:eastAsia="ru-RU"/>
              </w:rPr>
              <w:t>2.</w:t>
            </w:r>
            <w:r w:rsidR="00033EDA">
              <w:rPr>
                <w:rFonts w:ascii="Calibri" w:eastAsia="Times New Roman" w:hAnsi="Calibri" w:cs="Times New Roman"/>
                <w:color w:val="000000"/>
                <w:lang w:eastAsia="ru-RU"/>
              </w:rPr>
              <w:t>2</w:t>
            </w:r>
          </w:p>
        </w:tc>
        <w:tc>
          <w:tcPr>
            <w:tcW w:w="1520" w:type="dxa"/>
            <w:tcBorders>
              <w:top w:val="nil"/>
              <w:left w:val="nil"/>
              <w:bottom w:val="nil"/>
              <w:right w:val="nil"/>
            </w:tcBorders>
            <w:shd w:val="clear" w:color="auto" w:fill="auto"/>
            <w:noWrap/>
            <w:vAlign w:val="bottom"/>
            <w:hideMark/>
          </w:tcPr>
          <w:p w:rsidR="00B55AA0" w:rsidRPr="00B55AA0" w:rsidRDefault="00CA7D08" w:rsidP="00033EDA">
            <w:pPr>
              <w:spacing w:after="0" w:line="240" w:lineRule="auto"/>
              <w:jc w:val="right"/>
              <w:rPr>
                <w:rFonts w:ascii="Calibri" w:eastAsia="Times New Roman" w:hAnsi="Calibri" w:cs="Times New Roman"/>
                <w:color w:val="000000"/>
                <w:lang w:eastAsia="ru-RU"/>
              </w:rPr>
            </w:pPr>
            <w:r>
              <w:rPr>
                <w:rFonts w:ascii="Calibri" w:eastAsia="Times New Roman" w:hAnsi="Calibri" w:cs="Times New Roman"/>
                <w:color w:val="000000"/>
                <w:lang w:eastAsia="ru-RU"/>
              </w:rPr>
              <w:t>1.</w:t>
            </w:r>
            <w:r w:rsidR="00033EDA">
              <w:rPr>
                <w:rFonts w:ascii="Calibri" w:eastAsia="Times New Roman" w:hAnsi="Calibri" w:cs="Times New Roman"/>
                <w:color w:val="000000"/>
                <w:lang w:eastAsia="ru-RU"/>
              </w:rPr>
              <w:t>8</w:t>
            </w:r>
          </w:p>
        </w:tc>
        <w:tc>
          <w:tcPr>
            <w:tcW w:w="1720" w:type="dxa"/>
            <w:tcBorders>
              <w:top w:val="nil"/>
              <w:left w:val="nil"/>
              <w:bottom w:val="nil"/>
              <w:right w:val="nil"/>
            </w:tcBorders>
            <w:shd w:val="clear" w:color="auto" w:fill="auto"/>
            <w:vAlign w:val="center"/>
            <w:hideMark/>
          </w:tcPr>
          <w:p w:rsidR="00B55AA0" w:rsidRPr="00B55AA0" w:rsidRDefault="00B55AA0" w:rsidP="00B55AA0">
            <w:pPr>
              <w:spacing w:after="0" w:line="240" w:lineRule="auto"/>
              <w:jc w:val="right"/>
              <w:rPr>
                <w:rFonts w:ascii="Calibri" w:eastAsia="Times New Roman" w:hAnsi="Calibri" w:cs="Times New Roman"/>
                <w:b/>
                <w:bCs/>
                <w:color w:val="000000"/>
                <w:lang w:eastAsia="ru-RU"/>
              </w:rPr>
            </w:pPr>
            <w:r w:rsidRPr="00B55AA0">
              <w:rPr>
                <w:rFonts w:ascii="Calibri" w:eastAsia="Times New Roman" w:hAnsi="Calibri" w:cs="Times New Roman"/>
                <w:b/>
                <w:bCs/>
                <w:color w:val="000000"/>
                <w:lang w:eastAsia="ru-RU"/>
              </w:rPr>
              <w:t>22%</w:t>
            </w:r>
          </w:p>
        </w:tc>
      </w:tr>
      <w:tr w:rsidR="00B55AA0" w:rsidRPr="00B55AA0" w:rsidTr="00B55AA0">
        <w:trPr>
          <w:trHeight w:val="300"/>
        </w:trPr>
        <w:tc>
          <w:tcPr>
            <w:tcW w:w="3800" w:type="dxa"/>
            <w:tcBorders>
              <w:top w:val="nil"/>
              <w:left w:val="nil"/>
              <w:bottom w:val="nil"/>
              <w:right w:val="nil"/>
            </w:tcBorders>
            <w:shd w:val="clear" w:color="auto" w:fill="auto"/>
            <w:vAlign w:val="center"/>
            <w:hideMark/>
          </w:tcPr>
          <w:p w:rsidR="00B55AA0" w:rsidRPr="00CA7D08" w:rsidRDefault="00CA7D08" w:rsidP="00B55AA0">
            <w:pPr>
              <w:spacing w:after="0" w:line="240" w:lineRule="auto"/>
              <w:rPr>
                <w:rFonts w:ascii="Calibri" w:eastAsia="Times New Roman" w:hAnsi="Calibri" w:cs="Times New Roman"/>
                <w:color w:val="000000"/>
                <w:lang w:val="en-US" w:eastAsia="ru-RU"/>
              </w:rPr>
            </w:pPr>
            <w:r>
              <w:rPr>
                <w:rFonts w:ascii="Calibri" w:eastAsia="Times New Roman" w:hAnsi="Calibri" w:cs="Times New Roman"/>
                <w:color w:val="000000"/>
                <w:lang w:val="en-US" w:eastAsia="ru-RU"/>
              </w:rPr>
              <w:t>WELL INTERVENTIONS</w:t>
            </w:r>
          </w:p>
        </w:tc>
        <w:tc>
          <w:tcPr>
            <w:tcW w:w="1780" w:type="dxa"/>
            <w:tcBorders>
              <w:top w:val="nil"/>
              <w:left w:val="nil"/>
              <w:bottom w:val="nil"/>
              <w:right w:val="nil"/>
            </w:tcBorders>
            <w:shd w:val="clear" w:color="auto" w:fill="auto"/>
            <w:noWrap/>
            <w:vAlign w:val="bottom"/>
            <w:hideMark/>
          </w:tcPr>
          <w:p w:rsidR="00B55AA0" w:rsidRPr="00B55AA0" w:rsidRDefault="00CA7D08" w:rsidP="00033EDA">
            <w:pPr>
              <w:spacing w:after="0" w:line="240" w:lineRule="auto"/>
              <w:jc w:val="right"/>
              <w:rPr>
                <w:rFonts w:ascii="Calibri" w:eastAsia="Times New Roman" w:hAnsi="Calibri" w:cs="Times New Roman"/>
                <w:color w:val="000000"/>
                <w:lang w:eastAsia="ru-RU"/>
              </w:rPr>
            </w:pPr>
            <w:r>
              <w:rPr>
                <w:rFonts w:ascii="Calibri" w:eastAsia="Times New Roman" w:hAnsi="Calibri" w:cs="Times New Roman"/>
                <w:color w:val="000000"/>
                <w:lang w:eastAsia="ru-RU"/>
              </w:rPr>
              <w:t>1.</w:t>
            </w:r>
            <w:r w:rsidR="00B55AA0" w:rsidRPr="00B55AA0">
              <w:rPr>
                <w:rFonts w:ascii="Calibri" w:eastAsia="Times New Roman" w:hAnsi="Calibri" w:cs="Times New Roman"/>
                <w:color w:val="000000"/>
                <w:lang w:eastAsia="ru-RU"/>
              </w:rPr>
              <w:t>9</w:t>
            </w:r>
          </w:p>
        </w:tc>
        <w:tc>
          <w:tcPr>
            <w:tcW w:w="1520" w:type="dxa"/>
            <w:tcBorders>
              <w:top w:val="nil"/>
              <w:left w:val="nil"/>
              <w:bottom w:val="nil"/>
              <w:right w:val="nil"/>
            </w:tcBorders>
            <w:shd w:val="clear" w:color="auto" w:fill="auto"/>
            <w:noWrap/>
            <w:vAlign w:val="bottom"/>
            <w:hideMark/>
          </w:tcPr>
          <w:p w:rsidR="00B55AA0" w:rsidRPr="00B55AA0" w:rsidRDefault="00CA7D08" w:rsidP="00033EDA">
            <w:pPr>
              <w:spacing w:after="0" w:line="240" w:lineRule="auto"/>
              <w:jc w:val="right"/>
              <w:rPr>
                <w:rFonts w:ascii="Calibri" w:eastAsia="Times New Roman" w:hAnsi="Calibri" w:cs="Times New Roman"/>
                <w:color w:val="000000"/>
                <w:lang w:eastAsia="ru-RU"/>
              </w:rPr>
            </w:pPr>
            <w:r>
              <w:rPr>
                <w:rFonts w:ascii="Calibri" w:eastAsia="Times New Roman" w:hAnsi="Calibri" w:cs="Times New Roman"/>
                <w:color w:val="000000"/>
                <w:lang w:eastAsia="ru-RU"/>
              </w:rPr>
              <w:t>1.</w:t>
            </w:r>
            <w:r w:rsidR="00033EDA">
              <w:rPr>
                <w:rFonts w:ascii="Calibri" w:eastAsia="Times New Roman" w:hAnsi="Calibri" w:cs="Times New Roman"/>
                <w:color w:val="000000"/>
                <w:lang w:eastAsia="ru-RU"/>
              </w:rPr>
              <w:t>8</w:t>
            </w:r>
          </w:p>
        </w:tc>
        <w:tc>
          <w:tcPr>
            <w:tcW w:w="1720" w:type="dxa"/>
            <w:tcBorders>
              <w:top w:val="nil"/>
              <w:left w:val="nil"/>
              <w:bottom w:val="nil"/>
              <w:right w:val="nil"/>
            </w:tcBorders>
            <w:shd w:val="clear" w:color="auto" w:fill="auto"/>
            <w:vAlign w:val="center"/>
            <w:hideMark/>
          </w:tcPr>
          <w:p w:rsidR="00B55AA0" w:rsidRPr="00B55AA0" w:rsidRDefault="00B55AA0" w:rsidP="00B55AA0">
            <w:pPr>
              <w:spacing w:after="0" w:line="240" w:lineRule="auto"/>
              <w:jc w:val="right"/>
              <w:rPr>
                <w:rFonts w:ascii="Calibri" w:eastAsia="Times New Roman" w:hAnsi="Calibri" w:cs="Times New Roman"/>
                <w:b/>
                <w:bCs/>
                <w:color w:val="000000"/>
                <w:lang w:eastAsia="ru-RU"/>
              </w:rPr>
            </w:pPr>
            <w:r w:rsidRPr="00B55AA0">
              <w:rPr>
                <w:rFonts w:ascii="Calibri" w:eastAsia="Times New Roman" w:hAnsi="Calibri" w:cs="Times New Roman"/>
                <w:b/>
                <w:bCs/>
                <w:color w:val="000000"/>
                <w:lang w:eastAsia="ru-RU"/>
              </w:rPr>
              <w:t>7%</w:t>
            </w:r>
          </w:p>
        </w:tc>
      </w:tr>
      <w:tr w:rsidR="00B55AA0" w:rsidRPr="00B55AA0" w:rsidTr="00B55AA0">
        <w:trPr>
          <w:trHeight w:val="300"/>
        </w:trPr>
        <w:tc>
          <w:tcPr>
            <w:tcW w:w="3800" w:type="dxa"/>
            <w:tcBorders>
              <w:top w:val="nil"/>
              <w:left w:val="nil"/>
              <w:bottom w:val="nil"/>
              <w:right w:val="nil"/>
            </w:tcBorders>
            <w:shd w:val="clear" w:color="auto" w:fill="auto"/>
            <w:vAlign w:val="center"/>
            <w:hideMark/>
          </w:tcPr>
          <w:p w:rsidR="00B55AA0" w:rsidRPr="00CA7D08" w:rsidRDefault="00CA7D08" w:rsidP="00B55AA0">
            <w:pPr>
              <w:spacing w:after="0" w:line="240" w:lineRule="auto"/>
              <w:rPr>
                <w:rFonts w:ascii="Calibri" w:eastAsia="Times New Roman" w:hAnsi="Calibri" w:cs="Times New Roman"/>
                <w:color w:val="000000"/>
                <w:lang w:val="en-US" w:eastAsia="ru-RU"/>
              </w:rPr>
            </w:pPr>
            <w:r>
              <w:rPr>
                <w:rFonts w:ascii="Calibri" w:eastAsia="Times New Roman" w:hAnsi="Calibri" w:cs="Times New Roman"/>
                <w:color w:val="000000"/>
                <w:lang w:val="en-US" w:eastAsia="ru-RU"/>
              </w:rPr>
              <w:t>GAS PROGRAM</w:t>
            </w:r>
          </w:p>
        </w:tc>
        <w:tc>
          <w:tcPr>
            <w:tcW w:w="1780" w:type="dxa"/>
            <w:tcBorders>
              <w:top w:val="nil"/>
              <w:left w:val="nil"/>
              <w:bottom w:val="nil"/>
              <w:right w:val="nil"/>
            </w:tcBorders>
            <w:shd w:val="clear" w:color="auto" w:fill="auto"/>
            <w:noWrap/>
            <w:vAlign w:val="bottom"/>
            <w:hideMark/>
          </w:tcPr>
          <w:p w:rsidR="00B55AA0" w:rsidRPr="00B55AA0" w:rsidRDefault="00CA7D08" w:rsidP="00033EDA">
            <w:pPr>
              <w:spacing w:after="0" w:line="240" w:lineRule="auto"/>
              <w:jc w:val="right"/>
              <w:rPr>
                <w:rFonts w:ascii="Calibri" w:eastAsia="Times New Roman" w:hAnsi="Calibri" w:cs="Times New Roman"/>
                <w:color w:val="000000"/>
                <w:lang w:eastAsia="ru-RU"/>
              </w:rPr>
            </w:pPr>
            <w:r>
              <w:rPr>
                <w:rFonts w:ascii="Calibri" w:eastAsia="Times New Roman" w:hAnsi="Calibri" w:cs="Times New Roman"/>
                <w:color w:val="000000"/>
                <w:lang w:eastAsia="ru-RU"/>
              </w:rPr>
              <w:t>2.</w:t>
            </w:r>
            <w:r w:rsidR="00033EDA">
              <w:rPr>
                <w:rFonts w:ascii="Calibri" w:eastAsia="Times New Roman" w:hAnsi="Calibri" w:cs="Times New Roman"/>
                <w:color w:val="000000"/>
                <w:lang w:eastAsia="ru-RU"/>
              </w:rPr>
              <w:t>3</w:t>
            </w:r>
          </w:p>
        </w:tc>
        <w:tc>
          <w:tcPr>
            <w:tcW w:w="1520" w:type="dxa"/>
            <w:tcBorders>
              <w:top w:val="nil"/>
              <w:left w:val="nil"/>
              <w:bottom w:val="nil"/>
              <w:right w:val="nil"/>
            </w:tcBorders>
            <w:shd w:val="clear" w:color="auto" w:fill="auto"/>
            <w:noWrap/>
            <w:vAlign w:val="bottom"/>
            <w:hideMark/>
          </w:tcPr>
          <w:p w:rsidR="00B55AA0" w:rsidRPr="00B55AA0" w:rsidRDefault="00CA7D08" w:rsidP="00F42BB4">
            <w:pPr>
              <w:spacing w:after="0" w:line="240" w:lineRule="auto"/>
              <w:jc w:val="right"/>
              <w:rPr>
                <w:rFonts w:ascii="Calibri" w:eastAsia="Times New Roman" w:hAnsi="Calibri" w:cs="Times New Roman"/>
                <w:color w:val="000000"/>
                <w:lang w:eastAsia="ru-RU"/>
              </w:rPr>
            </w:pPr>
            <w:r>
              <w:rPr>
                <w:rFonts w:ascii="Calibri" w:eastAsia="Times New Roman" w:hAnsi="Calibri" w:cs="Times New Roman"/>
                <w:color w:val="000000"/>
                <w:lang w:eastAsia="ru-RU"/>
              </w:rPr>
              <w:t>0.</w:t>
            </w:r>
            <w:r w:rsidR="00033EDA">
              <w:rPr>
                <w:rFonts w:ascii="Calibri" w:eastAsia="Times New Roman" w:hAnsi="Calibri" w:cs="Times New Roman"/>
                <w:color w:val="000000"/>
                <w:lang w:eastAsia="ru-RU"/>
              </w:rPr>
              <w:t>7</w:t>
            </w:r>
          </w:p>
        </w:tc>
        <w:tc>
          <w:tcPr>
            <w:tcW w:w="1720" w:type="dxa"/>
            <w:tcBorders>
              <w:top w:val="nil"/>
              <w:left w:val="nil"/>
              <w:bottom w:val="nil"/>
              <w:right w:val="nil"/>
            </w:tcBorders>
            <w:shd w:val="clear" w:color="auto" w:fill="auto"/>
            <w:vAlign w:val="center"/>
            <w:hideMark/>
          </w:tcPr>
          <w:p w:rsidR="00B55AA0" w:rsidRPr="00B55AA0" w:rsidRDefault="00B55AA0" w:rsidP="00B55AA0">
            <w:pPr>
              <w:spacing w:after="0" w:line="240" w:lineRule="auto"/>
              <w:jc w:val="right"/>
              <w:rPr>
                <w:rFonts w:ascii="Calibri" w:eastAsia="Times New Roman" w:hAnsi="Calibri" w:cs="Times New Roman"/>
                <w:b/>
                <w:bCs/>
                <w:color w:val="000000"/>
                <w:lang w:eastAsia="ru-RU"/>
              </w:rPr>
            </w:pPr>
            <w:r w:rsidRPr="00B55AA0">
              <w:rPr>
                <w:rFonts w:ascii="Calibri" w:eastAsia="Times New Roman" w:hAnsi="Calibri" w:cs="Times New Roman"/>
                <w:b/>
                <w:bCs/>
                <w:color w:val="000000"/>
                <w:lang w:eastAsia="ru-RU"/>
              </w:rPr>
              <w:t>232%</w:t>
            </w:r>
          </w:p>
        </w:tc>
      </w:tr>
      <w:tr w:rsidR="00B55AA0" w:rsidRPr="00B55AA0" w:rsidTr="00B55AA0">
        <w:trPr>
          <w:trHeight w:val="315"/>
        </w:trPr>
        <w:tc>
          <w:tcPr>
            <w:tcW w:w="3800" w:type="dxa"/>
            <w:tcBorders>
              <w:top w:val="nil"/>
              <w:left w:val="nil"/>
              <w:bottom w:val="single" w:sz="12" w:space="0" w:color="auto"/>
              <w:right w:val="nil"/>
            </w:tcBorders>
            <w:shd w:val="clear" w:color="auto" w:fill="auto"/>
            <w:vAlign w:val="center"/>
            <w:hideMark/>
          </w:tcPr>
          <w:p w:rsidR="00B55AA0" w:rsidRPr="00CA7D08" w:rsidRDefault="00CA7D08" w:rsidP="00B55AA0">
            <w:pPr>
              <w:spacing w:after="0" w:line="240" w:lineRule="auto"/>
              <w:rPr>
                <w:rFonts w:ascii="Calibri" w:eastAsia="Times New Roman" w:hAnsi="Calibri" w:cs="Times New Roman"/>
                <w:color w:val="000000"/>
                <w:lang w:val="en-US" w:eastAsia="ru-RU"/>
              </w:rPr>
            </w:pPr>
            <w:r>
              <w:rPr>
                <w:rFonts w:ascii="Calibri" w:eastAsia="Times New Roman" w:hAnsi="Calibri" w:cs="Times New Roman"/>
                <w:color w:val="000000"/>
                <w:lang w:val="en-US" w:eastAsia="ru-RU"/>
              </w:rPr>
              <w:t>EXPLORATION</w:t>
            </w:r>
          </w:p>
        </w:tc>
        <w:tc>
          <w:tcPr>
            <w:tcW w:w="1780" w:type="dxa"/>
            <w:tcBorders>
              <w:top w:val="nil"/>
              <w:left w:val="nil"/>
              <w:bottom w:val="single" w:sz="12" w:space="0" w:color="auto"/>
              <w:right w:val="nil"/>
            </w:tcBorders>
            <w:shd w:val="clear" w:color="auto" w:fill="auto"/>
            <w:noWrap/>
            <w:vAlign w:val="bottom"/>
            <w:hideMark/>
          </w:tcPr>
          <w:p w:rsidR="00B55AA0" w:rsidRPr="00B55AA0" w:rsidRDefault="00CA7D08" w:rsidP="00033EDA">
            <w:pPr>
              <w:spacing w:after="0" w:line="240" w:lineRule="auto"/>
              <w:jc w:val="right"/>
              <w:rPr>
                <w:rFonts w:ascii="Calibri" w:eastAsia="Times New Roman" w:hAnsi="Calibri" w:cs="Times New Roman"/>
                <w:color w:val="000000"/>
                <w:lang w:eastAsia="ru-RU"/>
              </w:rPr>
            </w:pPr>
            <w:r>
              <w:rPr>
                <w:rFonts w:ascii="Calibri" w:eastAsia="Times New Roman" w:hAnsi="Calibri" w:cs="Times New Roman"/>
                <w:color w:val="000000"/>
                <w:lang w:eastAsia="ru-RU"/>
              </w:rPr>
              <w:t>0.</w:t>
            </w:r>
            <w:r w:rsidR="00B55AA0" w:rsidRPr="00B55AA0">
              <w:rPr>
                <w:rFonts w:ascii="Calibri" w:eastAsia="Times New Roman" w:hAnsi="Calibri" w:cs="Times New Roman"/>
                <w:color w:val="000000"/>
                <w:lang w:eastAsia="ru-RU"/>
              </w:rPr>
              <w:t>7</w:t>
            </w:r>
          </w:p>
        </w:tc>
        <w:tc>
          <w:tcPr>
            <w:tcW w:w="1520" w:type="dxa"/>
            <w:tcBorders>
              <w:top w:val="nil"/>
              <w:left w:val="nil"/>
              <w:bottom w:val="single" w:sz="12" w:space="0" w:color="auto"/>
              <w:right w:val="nil"/>
            </w:tcBorders>
            <w:shd w:val="clear" w:color="auto" w:fill="auto"/>
            <w:noWrap/>
            <w:vAlign w:val="bottom"/>
            <w:hideMark/>
          </w:tcPr>
          <w:p w:rsidR="00B55AA0" w:rsidRPr="00B55AA0" w:rsidRDefault="00CA7D08" w:rsidP="00B55AA0">
            <w:pPr>
              <w:spacing w:after="0" w:line="240" w:lineRule="auto"/>
              <w:jc w:val="right"/>
              <w:rPr>
                <w:rFonts w:ascii="Calibri" w:eastAsia="Times New Roman" w:hAnsi="Calibri" w:cs="Times New Roman"/>
                <w:color w:val="000000"/>
                <w:lang w:eastAsia="ru-RU"/>
              </w:rPr>
            </w:pPr>
            <w:r>
              <w:rPr>
                <w:rFonts w:ascii="Calibri" w:eastAsia="Times New Roman" w:hAnsi="Calibri" w:cs="Times New Roman"/>
                <w:color w:val="000000"/>
                <w:lang w:eastAsia="ru-RU"/>
              </w:rPr>
              <w:t>0.</w:t>
            </w:r>
            <w:r w:rsidR="00033EDA">
              <w:rPr>
                <w:rFonts w:ascii="Calibri" w:eastAsia="Times New Roman" w:hAnsi="Calibri" w:cs="Times New Roman"/>
                <w:color w:val="000000"/>
                <w:lang w:eastAsia="ru-RU"/>
              </w:rPr>
              <w:t>1</w:t>
            </w:r>
          </w:p>
        </w:tc>
        <w:tc>
          <w:tcPr>
            <w:tcW w:w="1720" w:type="dxa"/>
            <w:tcBorders>
              <w:top w:val="nil"/>
              <w:left w:val="nil"/>
              <w:bottom w:val="single" w:sz="12" w:space="0" w:color="auto"/>
              <w:right w:val="nil"/>
            </w:tcBorders>
            <w:shd w:val="clear" w:color="auto" w:fill="auto"/>
            <w:vAlign w:val="center"/>
            <w:hideMark/>
          </w:tcPr>
          <w:p w:rsidR="00B55AA0" w:rsidRPr="00B55AA0" w:rsidRDefault="00B55AA0" w:rsidP="00B55AA0">
            <w:pPr>
              <w:spacing w:after="0" w:line="240" w:lineRule="auto"/>
              <w:jc w:val="right"/>
              <w:rPr>
                <w:rFonts w:ascii="Calibri" w:eastAsia="Times New Roman" w:hAnsi="Calibri" w:cs="Times New Roman"/>
                <w:b/>
                <w:bCs/>
                <w:color w:val="000000"/>
                <w:lang w:eastAsia="ru-RU"/>
              </w:rPr>
            </w:pPr>
            <w:r w:rsidRPr="00B55AA0">
              <w:rPr>
                <w:rFonts w:ascii="Calibri" w:eastAsia="Times New Roman" w:hAnsi="Calibri" w:cs="Times New Roman"/>
                <w:b/>
                <w:bCs/>
                <w:color w:val="000000"/>
                <w:lang w:eastAsia="ru-RU"/>
              </w:rPr>
              <w:t>431%</w:t>
            </w:r>
          </w:p>
        </w:tc>
      </w:tr>
    </w:tbl>
    <w:p w:rsidR="00887FA6" w:rsidRDefault="00887FA6" w:rsidP="00271BFD">
      <w:pPr>
        <w:jc w:val="both"/>
        <w:rPr>
          <w:rFonts w:ascii="Arial" w:hAnsi="Arial" w:cs="Arial"/>
          <w:b/>
          <w:sz w:val="28"/>
          <w:szCs w:val="28"/>
        </w:rPr>
      </w:pPr>
    </w:p>
    <w:p w:rsidR="00CA7D08" w:rsidRPr="00CA7D08" w:rsidRDefault="00924EDA" w:rsidP="00924EDA">
      <w:pPr>
        <w:spacing w:line="360" w:lineRule="auto"/>
        <w:jc w:val="both"/>
        <w:rPr>
          <w:rFonts w:ascii="Arial" w:hAnsi="Arial" w:cs="Arial"/>
          <w:sz w:val="24"/>
          <w:szCs w:val="28"/>
          <w:lang w:val="en-US"/>
        </w:rPr>
      </w:pPr>
      <w:r>
        <w:rPr>
          <w:rFonts w:ascii="Arial" w:hAnsi="Arial" w:cs="Arial"/>
          <w:sz w:val="24"/>
          <w:szCs w:val="28"/>
          <w:lang w:val="en-US"/>
        </w:rPr>
        <w:t>The C</w:t>
      </w:r>
      <w:r w:rsidR="00CA7D08" w:rsidRPr="00CA7D08">
        <w:rPr>
          <w:rFonts w:ascii="Arial" w:hAnsi="Arial" w:cs="Arial"/>
          <w:sz w:val="24"/>
          <w:szCs w:val="28"/>
          <w:lang w:val="en-US"/>
        </w:rPr>
        <w:t xml:space="preserve">ompany's strategy provides for active investment activities aimed at increasing exploration, drilling and commissioning of new wells, creation of new and </w:t>
      </w:r>
      <w:r>
        <w:rPr>
          <w:rFonts w:ascii="Arial" w:hAnsi="Arial" w:cs="Arial"/>
          <w:sz w:val="24"/>
          <w:szCs w:val="28"/>
          <w:lang w:val="en-US"/>
        </w:rPr>
        <w:t>upgrade</w:t>
      </w:r>
      <w:r w:rsidR="00CA7D08" w:rsidRPr="00CA7D08">
        <w:rPr>
          <w:rFonts w:ascii="Arial" w:hAnsi="Arial" w:cs="Arial"/>
          <w:sz w:val="24"/>
          <w:szCs w:val="28"/>
          <w:lang w:val="en-US"/>
        </w:rPr>
        <w:t xml:space="preserve"> of </w:t>
      </w:r>
      <w:r>
        <w:rPr>
          <w:rFonts w:ascii="Arial" w:hAnsi="Arial" w:cs="Arial"/>
          <w:sz w:val="24"/>
          <w:szCs w:val="28"/>
          <w:lang w:val="en-US"/>
        </w:rPr>
        <w:t xml:space="preserve">the </w:t>
      </w:r>
      <w:r w:rsidR="00CA7D08" w:rsidRPr="00CA7D08">
        <w:rPr>
          <w:rFonts w:ascii="Arial" w:hAnsi="Arial" w:cs="Arial"/>
          <w:sz w:val="24"/>
          <w:szCs w:val="28"/>
          <w:lang w:val="en-US"/>
        </w:rPr>
        <w:t xml:space="preserve">existing infrastructure in order to maintain the existing production rates, as well as achieving organic growth in the medium term. The volume of investments in 2017 amounted to </w:t>
      </w:r>
      <w:r>
        <w:rPr>
          <w:rFonts w:ascii="Arial" w:hAnsi="Arial" w:cs="Arial"/>
          <w:sz w:val="24"/>
          <w:szCs w:val="28"/>
          <w:lang w:val="en-US"/>
        </w:rPr>
        <w:t xml:space="preserve">RUB </w:t>
      </w:r>
      <w:r w:rsidR="00CA7D08" w:rsidRPr="00CA7D08">
        <w:rPr>
          <w:rFonts w:ascii="Arial" w:hAnsi="Arial" w:cs="Arial"/>
          <w:sz w:val="24"/>
          <w:szCs w:val="28"/>
          <w:lang w:val="en-US"/>
        </w:rPr>
        <w:t xml:space="preserve">25.7 billion, which is higher than in 2016 by 49% or </w:t>
      </w:r>
      <w:r>
        <w:rPr>
          <w:rFonts w:ascii="Arial" w:hAnsi="Arial" w:cs="Arial"/>
          <w:sz w:val="24"/>
          <w:szCs w:val="28"/>
          <w:lang w:val="en-US"/>
        </w:rPr>
        <w:t xml:space="preserve">RUB </w:t>
      </w:r>
      <w:r w:rsidR="00CA7D08" w:rsidRPr="00CA7D08">
        <w:rPr>
          <w:rFonts w:ascii="Arial" w:hAnsi="Arial" w:cs="Arial"/>
          <w:sz w:val="24"/>
          <w:szCs w:val="28"/>
          <w:lang w:val="en-US"/>
        </w:rPr>
        <w:t>8.4 billion rubles.</w:t>
      </w:r>
    </w:p>
    <w:p w:rsidR="00B414BA" w:rsidRPr="00CA7D08" w:rsidRDefault="00924EDA" w:rsidP="00CA7D08">
      <w:pPr>
        <w:spacing w:line="360" w:lineRule="auto"/>
        <w:rPr>
          <w:rFonts w:ascii="Arial" w:hAnsi="Arial" w:cs="Arial"/>
          <w:b/>
          <w:sz w:val="28"/>
          <w:szCs w:val="28"/>
          <w:lang w:val="en-US"/>
        </w:rPr>
      </w:pPr>
      <w:r>
        <w:rPr>
          <w:rFonts w:ascii="Arial" w:hAnsi="Arial" w:cs="Arial"/>
          <w:b/>
          <w:sz w:val="28"/>
          <w:szCs w:val="28"/>
          <w:lang w:val="en-US"/>
        </w:rPr>
        <w:t>Debt portfolio</w:t>
      </w:r>
    </w:p>
    <w:p w:rsidR="00B414BA" w:rsidRPr="00924EDA" w:rsidRDefault="00924EDA" w:rsidP="00271BFD">
      <w:pPr>
        <w:spacing w:line="360" w:lineRule="auto"/>
        <w:ind w:left="63"/>
        <w:jc w:val="both"/>
        <w:rPr>
          <w:rFonts w:ascii="Arial" w:hAnsi="Arial" w:cs="Arial"/>
          <w:sz w:val="24"/>
          <w:szCs w:val="28"/>
          <w:lang w:val="en-US"/>
        </w:rPr>
      </w:pPr>
      <w:r w:rsidRPr="00924EDA">
        <w:rPr>
          <w:rFonts w:ascii="Arial" w:hAnsi="Arial" w:cs="Arial"/>
          <w:sz w:val="24"/>
          <w:szCs w:val="28"/>
          <w:lang w:val="en-US"/>
        </w:rPr>
        <w:t>The Company's net debt in the reporting year amounted to RUB 79.5 billion</w:t>
      </w:r>
      <w:r>
        <w:rPr>
          <w:rFonts w:ascii="Arial" w:hAnsi="Arial" w:cs="Arial"/>
          <w:sz w:val="24"/>
          <w:szCs w:val="28"/>
          <w:lang w:val="en-US"/>
        </w:rPr>
        <w:t>.</w:t>
      </w:r>
      <w:r w:rsidRPr="00924EDA">
        <w:rPr>
          <w:rFonts w:ascii="Arial" w:hAnsi="Arial" w:cs="Arial"/>
          <w:sz w:val="24"/>
          <w:szCs w:val="28"/>
          <w:lang w:val="en-US"/>
        </w:rPr>
        <w:t xml:space="preserve"> Main creditor </w:t>
      </w:r>
      <w:r>
        <w:rPr>
          <w:rFonts w:ascii="Arial" w:hAnsi="Arial" w:cs="Arial"/>
          <w:sz w:val="24"/>
          <w:szCs w:val="28"/>
          <w:lang w:val="en-US"/>
        </w:rPr>
        <w:t>was</w:t>
      </w:r>
      <w:r w:rsidRPr="00924EDA">
        <w:rPr>
          <w:rFonts w:ascii="Arial" w:hAnsi="Arial" w:cs="Arial"/>
          <w:sz w:val="24"/>
          <w:szCs w:val="28"/>
          <w:lang w:val="en-US"/>
        </w:rPr>
        <w:t xml:space="preserve"> VTB Bank (PJSC). A slight change (3%) is mainly due to the strengthening of the ruble in 2017. Thanks to the coordinated work of </w:t>
      </w:r>
      <w:r>
        <w:rPr>
          <w:rFonts w:ascii="Arial" w:hAnsi="Arial" w:cs="Arial"/>
          <w:sz w:val="24"/>
          <w:szCs w:val="28"/>
          <w:lang w:val="en-US"/>
        </w:rPr>
        <w:t xml:space="preserve">the </w:t>
      </w:r>
      <w:r w:rsidRPr="00924EDA">
        <w:rPr>
          <w:rFonts w:ascii="Arial" w:hAnsi="Arial" w:cs="Arial"/>
          <w:sz w:val="24"/>
          <w:szCs w:val="28"/>
          <w:lang w:val="en-US"/>
        </w:rPr>
        <w:t>ma</w:t>
      </w:r>
      <w:r>
        <w:rPr>
          <w:rFonts w:ascii="Arial" w:hAnsi="Arial" w:cs="Arial"/>
          <w:sz w:val="24"/>
          <w:szCs w:val="28"/>
          <w:lang w:val="en-US"/>
        </w:rPr>
        <w:t>nagement and shareholders, the C</w:t>
      </w:r>
      <w:r w:rsidRPr="00924EDA">
        <w:rPr>
          <w:rFonts w:ascii="Arial" w:hAnsi="Arial" w:cs="Arial"/>
          <w:sz w:val="24"/>
          <w:szCs w:val="28"/>
          <w:lang w:val="en-US"/>
        </w:rPr>
        <w:t>ompany has achieved the target indicators for compliance</w:t>
      </w:r>
      <w:r>
        <w:rPr>
          <w:rFonts w:ascii="Arial" w:hAnsi="Arial" w:cs="Arial"/>
          <w:sz w:val="24"/>
          <w:szCs w:val="28"/>
          <w:lang w:val="en-US"/>
        </w:rPr>
        <w:t xml:space="preserve"> with financial and production c</w:t>
      </w:r>
      <w:r w:rsidRPr="00924EDA">
        <w:rPr>
          <w:rFonts w:ascii="Arial" w:hAnsi="Arial" w:cs="Arial"/>
          <w:sz w:val="24"/>
          <w:szCs w:val="28"/>
          <w:lang w:val="en-US"/>
        </w:rPr>
        <w:t>ovenant</w:t>
      </w:r>
      <w:r>
        <w:rPr>
          <w:rFonts w:ascii="Arial" w:hAnsi="Arial" w:cs="Arial"/>
          <w:sz w:val="24"/>
          <w:szCs w:val="28"/>
          <w:lang w:val="en-US"/>
        </w:rPr>
        <w:t>s</w:t>
      </w:r>
      <w:r w:rsidRPr="00924EDA">
        <w:rPr>
          <w:rFonts w:ascii="Arial" w:hAnsi="Arial" w:cs="Arial"/>
          <w:sz w:val="24"/>
          <w:szCs w:val="28"/>
          <w:lang w:val="en-US"/>
        </w:rPr>
        <w:t>,</w:t>
      </w:r>
      <w:r>
        <w:rPr>
          <w:rFonts w:ascii="Arial" w:hAnsi="Arial" w:cs="Arial"/>
          <w:sz w:val="24"/>
          <w:szCs w:val="28"/>
          <w:lang w:val="en-US"/>
        </w:rPr>
        <w:t xml:space="preserve"> the</w:t>
      </w:r>
      <w:r w:rsidRPr="00924EDA">
        <w:rPr>
          <w:rFonts w:ascii="Arial" w:hAnsi="Arial" w:cs="Arial"/>
          <w:sz w:val="24"/>
          <w:szCs w:val="28"/>
          <w:lang w:val="en-US"/>
        </w:rPr>
        <w:t xml:space="preserve"> interest payments on the loan were </w:t>
      </w:r>
      <w:r>
        <w:rPr>
          <w:rFonts w:ascii="Arial" w:hAnsi="Arial" w:cs="Arial"/>
          <w:sz w:val="24"/>
          <w:szCs w:val="28"/>
          <w:lang w:val="en-US"/>
        </w:rPr>
        <w:t>performed</w:t>
      </w:r>
      <w:r w:rsidRPr="00924EDA">
        <w:rPr>
          <w:rFonts w:ascii="Arial" w:hAnsi="Arial" w:cs="Arial"/>
          <w:sz w:val="24"/>
          <w:szCs w:val="28"/>
          <w:lang w:val="en-US"/>
        </w:rPr>
        <w:t xml:space="preserve"> in a timely manner and in full.</w:t>
      </w:r>
    </w:p>
    <w:p w:rsidR="00115A90" w:rsidRPr="00924EDA" w:rsidRDefault="00115A90">
      <w:pPr>
        <w:rPr>
          <w:rFonts w:ascii="Arial" w:hAnsi="Arial" w:cs="Arial"/>
          <w:sz w:val="24"/>
          <w:szCs w:val="28"/>
          <w:lang w:val="en-US"/>
        </w:rPr>
      </w:pPr>
    </w:p>
    <w:p w:rsidR="00115A90" w:rsidRPr="00924EDA" w:rsidRDefault="00924EDA" w:rsidP="00115A90">
      <w:pPr>
        <w:rPr>
          <w:rFonts w:ascii="Arial" w:hAnsi="Arial" w:cs="Arial"/>
          <w:b/>
          <w:bCs/>
          <w:sz w:val="20"/>
          <w:szCs w:val="20"/>
          <w:lang w:val="en-US"/>
        </w:rPr>
      </w:pPr>
      <w:r>
        <w:rPr>
          <w:rFonts w:ascii="Arial" w:hAnsi="Arial" w:cs="Arial"/>
          <w:b/>
          <w:bCs/>
          <w:sz w:val="20"/>
          <w:szCs w:val="20"/>
          <w:lang w:val="en-US"/>
        </w:rPr>
        <w:t>The full version of the Financial Statement under IFRS is available at:</w:t>
      </w:r>
    </w:p>
    <w:p w:rsidR="00115A90" w:rsidRDefault="00C05F45" w:rsidP="00115A90">
      <w:pPr>
        <w:rPr>
          <w:rFonts w:ascii="Arial" w:hAnsi="Arial" w:cs="Arial"/>
          <w:b/>
          <w:bCs/>
          <w:sz w:val="20"/>
          <w:szCs w:val="20"/>
        </w:rPr>
      </w:pPr>
      <w:hyperlink r:id="rId10" w:history="1">
        <w:r w:rsidR="00115A90" w:rsidRPr="001A6D02">
          <w:rPr>
            <w:rStyle w:val="a4"/>
            <w:rFonts w:ascii="Arial" w:hAnsi="Arial" w:cs="Arial"/>
            <w:b/>
            <w:bCs/>
            <w:sz w:val="20"/>
            <w:szCs w:val="20"/>
            <w:lang w:val="en-US"/>
          </w:rPr>
          <w:t>http</w:t>
        </w:r>
        <w:r w:rsidR="00115A90" w:rsidRPr="00797830">
          <w:rPr>
            <w:rStyle w:val="a4"/>
            <w:rFonts w:ascii="Arial" w:hAnsi="Arial" w:cs="Arial"/>
            <w:b/>
            <w:bCs/>
            <w:sz w:val="20"/>
            <w:szCs w:val="20"/>
          </w:rPr>
          <w:t>://</w:t>
        </w:r>
        <w:proofErr w:type="spellStart"/>
        <w:r w:rsidR="00115A90" w:rsidRPr="001A6D02">
          <w:rPr>
            <w:rStyle w:val="a4"/>
            <w:rFonts w:ascii="Arial" w:hAnsi="Arial" w:cs="Arial"/>
            <w:b/>
            <w:bCs/>
            <w:sz w:val="20"/>
            <w:szCs w:val="20"/>
            <w:lang w:val="en-US"/>
          </w:rPr>
          <w:t>russneft</w:t>
        </w:r>
        <w:proofErr w:type="spellEnd"/>
        <w:r w:rsidR="00115A90" w:rsidRPr="00797830">
          <w:rPr>
            <w:rStyle w:val="a4"/>
            <w:rFonts w:ascii="Arial" w:hAnsi="Arial" w:cs="Arial"/>
            <w:b/>
            <w:bCs/>
            <w:sz w:val="20"/>
            <w:szCs w:val="20"/>
          </w:rPr>
          <w:t>.</w:t>
        </w:r>
        <w:proofErr w:type="spellStart"/>
        <w:r w:rsidR="00115A90" w:rsidRPr="001A6D02">
          <w:rPr>
            <w:rStyle w:val="a4"/>
            <w:rFonts w:ascii="Arial" w:hAnsi="Arial" w:cs="Arial"/>
            <w:b/>
            <w:bCs/>
            <w:sz w:val="20"/>
            <w:szCs w:val="20"/>
            <w:lang w:val="en-US"/>
          </w:rPr>
          <w:t>ru</w:t>
        </w:r>
        <w:proofErr w:type="spellEnd"/>
        <w:r w:rsidR="00115A90" w:rsidRPr="00797830">
          <w:rPr>
            <w:rStyle w:val="a4"/>
            <w:rFonts w:ascii="Arial" w:hAnsi="Arial" w:cs="Arial"/>
            <w:b/>
            <w:bCs/>
            <w:sz w:val="20"/>
            <w:szCs w:val="20"/>
          </w:rPr>
          <w:t>/</w:t>
        </w:r>
        <w:r w:rsidR="00115A90" w:rsidRPr="001A6D02">
          <w:rPr>
            <w:rStyle w:val="a4"/>
            <w:rFonts w:ascii="Arial" w:hAnsi="Arial" w:cs="Arial"/>
            <w:b/>
            <w:bCs/>
            <w:sz w:val="20"/>
            <w:szCs w:val="20"/>
            <w:lang w:val="en-US"/>
          </w:rPr>
          <w:t>shareholders</w:t>
        </w:r>
        <w:r w:rsidR="00115A90" w:rsidRPr="00797830">
          <w:rPr>
            <w:rStyle w:val="a4"/>
            <w:rFonts w:ascii="Arial" w:hAnsi="Arial" w:cs="Arial"/>
            <w:b/>
            <w:bCs/>
            <w:sz w:val="20"/>
            <w:szCs w:val="20"/>
          </w:rPr>
          <w:t>/</w:t>
        </w:r>
        <w:r w:rsidR="00115A90" w:rsidRPr="001A6D02">
          <w:rPr>
            <w:rStyle w:val="a4"/>
            <w:rFonts w:ascii="Arial" w:hAnsi="Arial" w:cs="Arial"/>
            <w:b/>
            <w:bCs/>
            <w:sz w:val="20"/>
            <w:szCs w:val="20"/>
            <w:lang w:val="en-US"/>
          </w:rPr>
          <w:t>financial</w:t>
        </w:r>
        <w:r w:rsidR="00115A90" w:rsidRPr="00797830">
          <w:rPr>
            <w:rStyle w:val="a4"/>
            <w:rFonts w:ascii="Arial" w:hAnsi="Arial" w:cs="Arial"/>
            <w:b/>
            <w:bCs/>
            <w:sz w:val="20"/>
            <w:szCs w:val="20"/>
          </w:rPr>
          <w:t>_</w:t>
        </w:r>
        <w:r w:rsidR="00115A90" w:rsidRPr="001A6D02">
          <w:rPr>
            <w:rStyle w:val="a4"/>
            <w:rFonts w:ascii="Arial" w:hAnsi="Arial" w:cs="Arial"/>
            <w:b/>
            <w:bCs/>
            <w:sz w:val="20"/>
            <w:szCs w:val="20"/>
            <w:lang w:val="en-US"/>
          </w:rPr>
          <w:t>statements</w:t>
        </w:r>
        <w:r w:rsidR="00115A90" w:rsidRPr="00797830">
          <w:rPr>
            <w:rStyle w:val="a4"/>
            <w:rFonts w:ascii="Arial" w:hAnsi="Arial" w:cs="Arial"/>
            <w:b/>
            <w:bCs/>
            <w:sz w:val="20"/>
            <w:szCs w:val="20"/>
          </w:rPr>
          <w:t>/</w:t>
        </w:r>
      </w:hyperlink>
      <w:r w:rsidR="00115A90" w:rsidRPr="00797830">
        <w:rPr>
          <w:rFonts w:ascii="Arial" w:hAnsi="Arial" w:cs="Arial"/>
          <w:b/>
          <w:bCs/>
          <w:sz w:val="20"/>
          <w:szCs w:val="20"/>
        </w:rPr>
        <w:t xml:space="preserve"> </w:t>
      </w:r>
    </w:p>
    <w:tbl>
      <w:tblPr>
        <w:tblStyle w:val="a3"/>
        <w:tblpPr w:leftFromText="180" w:rightFromText="180" w:vertAnchor="text" w:horzAnchor="margin" w:tblpY="59"/>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240"/>
        <w:gridCol w:w="4105"/>
      </w:tblGrid>
      <w:tr w:rsidR="00115A90" w:rsidRPr="00941A06" w:rsidTr="00115A90">
        <w:tc>
          <w:tcPr>
            <w:tcW w:w="5240" w:type="dxa"/>
          </w:tcPr>
          <w:p w:rsidR="00115A90" w:rsidRPr="00924EDA" w:rsidRDefault="00924EDA" w:rsidP="00115A90">
            <w:pPr>
              <w:spacing w:after="120" w:line="240" w:lineRule="atLeast"/>
              <w:ind w:right="-143"/>
              <w:rPr>
                <w:rFonts w:ascii="Arial" w:eastAsia="Times New Roman" w:hAnsi="Arial" w:cs="Arial"/>
                <w:b/>
                <w:bCs/>
                <w:i/>
                <w:szCs w:val="24"/>
                <w:lang w:val="en-US" w:eastAsia="ru-RU"/>
              </w:rPr>
            </w:pPr>
            <w:r>
              <w:rPr>
                <w:rFonts w:ascii="Arial" w:eastAsia="Times New Roman" w:hAnsi="Arial" w:cs="Arial"/>
                <w:b/>
                <w:bCs/>
                <w:i/>
                <w:szCs w:val="24"/>
                <w:lang w:val="en-US" w:eastAsia="ru-RU"/>
              </w:rPr>
              <w:t>Contacts for Mass-Media</w:t>
            </w:r>
          </w:p>
          <w:p w:rsidR="00115A90" w:rsidRPr="00941A06" w:rsidRDefault="00115A90" w:rsidP="00115A90">
            <w:pPr>
              <w:spacing w:after="120" w:line="240" w:lineRule="atLeast"/>
              <w:ind w:right="-143"/>
              <w:rPr>
                <w:rFonts w:ascii="Arial" w:eastAsia="Times New Roman" w:hAnsi="Arial" w:cs="Arial"/>
                <w:bCs/>
                <w:i/>
                <w:szCs w:val="24"/>
                <w:lang w:eastAsia="ru-RU"/>
              </w:rPr>
            </w:pPr>
            <w:r w:rsidRPr="00941A06">
              <w:rPr>
                <w:rFonts w:ascii="Arial" w:eastAsia="Times New Roman" w:hAnsi="Arial" w:cs="Arial"/>
                <w:bCs/>
                <w:i/>
                <w:szCs w:val="24"/>
                <w:lang w:eastAsia="ru-RU"/>
              </w:rPr>
              <w:t>+7 (495) 411</w:t>
            </w:r>
            <w:r w:rsidR="00522A85">
              <w:rPr>
                <w:rFonts w:ascii="Arial" w:eastAsia="Times New Roman" w:hAnsi="Arial" w:cs="Arial"/>
                <w:bCs/>
                <w:i/>
                <w:szCs w:val="24"/>
                <w:lang w:eastAsia="ru-RU"/>
              </w:rPr>
              <w:t>-</w:t>
            </w:r>
            <w:r w:rsidRPr="00941A06">
              <w:rPr>
                <w:rFonts w:ascii="Arial" w:eastAsia="Times New Roman" w:hAnsi="Arial" w:cs="Arial"/>
                <w:bCs/>
                <w:i/>
                <w:szCs w:val="24"/>
                <w:lang w:eastAsia="ru-RU"/>
              </w:rPr>
              <w:t xml:space="preserve"> 63</w:t>
            </w:r>
            <w:r w:rsidR="00522A85">
              <w:rPr>
                <w:rFonts w:ascii="Arial" w:eastAsia="Times New Roman" w:hAnsi="Arial" w:cs="Arial"/>
                <w:bCs/>
                <w:i/>
                <w:szCs w:val="24"/>
                <w:lang w:eastAsia="ru-RU"/>
              </w:rPr>
              <w:t>-</w:t>
            </w:r>
            <w:r w:rsidRPr="00941A06">
              <w:rPr>
                <w:rFonts w:ascii="Arial" w:eastAsia="Times New Roman" w:hAnsi="Arial" w:cs="Arial"/>
                <w:bCs/>
                <w:i/>
                <w:szCs w:val="24"/>
                <w:lang w:eastAsia="ru-RU"/>
              </w:rPr>
              <w:t xml:space="preserve"> 24  </w:t>
            </w:r>
          </w:p>
          <w:p w:rsidR="00115A90" w:rsidRPr="00941A06" w:rsidRDefault="00C05F45" w:rsidP="00115A90">
            <w:pPr>
              <w:spacing w:after="120" w:line="240" w:lineRule="atLeast"/>
              <w:ind w:right="-143"/>
              <w:rPr>
                <w:rFonts w:ascii="Arial" w:hAnsi="Arial" w:cs="Arial"/>
                <w:i/>
                <w:szCs w:val="28"/>
              </w:rPr>
            </w:pPr>
            <w:hyperlink r:id="rId11" w:history="1">
              <w:r w:rsidR="00115A90" w:rsidRPr="00A6369F">
                <w:rPr>
                  <w:rStyle w:val="a4"/>
                  <w:rFonts w:ascii="Arial" w:eastAsia="Times New Roman" w:hAnsi="Arial" w:cs="Arial"/>
                  <w:bCs/>
                  <w:i/>
                  <w:szCs w:val="24"/>
                  <w:lang w:val="en-US" w:eastAsia="ru-RU"/>
                </w:rPr>
                <w:t>pr</w:t>
              </w:r>
              <w:r w:rsidR="00115A90" w:rsidRPr="00A6369F">
                <w:rPr>
                  <w:rStyle w:val="a4"/>
                  <w:rFonts w:ascii="Arial" w:eastAsia="Times New Roman" w:hAnsi="Arial" w:cs="Arial"/>
                  <w:bCs/>
                  <w:i/>
                  <w:szCs w:val="24"/>
                  <w:lang w:eastAsia="ru-RU"/>
                </w:rPr>
                <w:t>@</w:t>
              </w:r>
              <w:r w:rsidR="00115A90" w:rsidRPr="00A6369F">
                <w:rPr>
                  <w:rStyle w:val="a4"/>
                  <w:rFonts w:ascii="Arial" w:eastAsia="Times New Roman" w:hAnsi="Arial" w:cs="Arial"/>
                  <w:bCs/>
                  <w:i/>
                  <w:szCs w:val="24"/>
                  <w:lang w:val="en-US" w:eastAsia="ru-RU"/>
                </w:rPr>
                <w:t>russneft</w:t>
              </w:r>
              <w:r w:rsidR="00115A90" w:rsidRPr="00A6369F">
                <w:rPr>
                  <w:rStyle w:val="a4"/>
                  <w:rFonts w:ascii="Arial" w:eastAsia="Times New Roman" w:hAnsi="Arial" w:cs="Arial"/>
                  <w:bCs/>
                  <w:i/>
                  <w:szCs w:val="24"/>
                  <w:lang w:eastAsia="ru-RU"/>
                </w:rPr>
                <w:t>.</w:t>
              </w:r>
              <w:proofErr w:type="spellStart"/>
              <w:r w:rsidR="00115A90" w:rsidRPr="00A6369F">
                <w:rPr>
                  <w:rStyle w:val="a4"/>
                  <w:rFonts w:ascii="Arial" w:eastAsia="Times New Roman" w:hAnsi="Arial" w:cs="Arial"/>
                  <w:bCs/>
                  <w:i/>
                  <w:szCs w:val="24"/>
                  <w:lang w:val="en-US" w:eastAsia="ru-RU"/>
                </w:rPr>
                <w:t>ru</w:t>
              </w:r>
              <w:proofErr w:type="spellEnd"/>
            </w:hyperlink>
          </w:p>
        </w:tc>
        <w:tc>
          <w:tcPr>
            <w:tcW w:w="4105" w:type="dxa"/>
          </w:tcPr>
          <w:p w:rsidR="00115A90" w:rsidRPr="00924EDA" w:rsidRDefault="00924EDA" w:rsidP="00115A90">
            <w:pPr>
              <w:spacing w:after="120" w:line="240" w:lineRule="atLeast"/>
              <w:ind w:right="-143"/>
              <w:rPr>
                <w:rFonts w:ascii="Arial" w:eastAsia="Times New Roman" w:hAnsi="Arial" w:cs="Arial"/>
                <w:b/>
                <w:bCs/>
                <w:i/>
                <w:szCs w:val="24"/>
                <w:lang w:val="en-US" w:eastAsia="ru-RU"/>
              </w:rPr>
            </w:pPr>
            <w:r>
              <w:rPr>
                <w:rFonts w:ascii="Arial" w:eastAsia="Times New Roman" w:hAnsi="Arial" w:cs="Arial"/>
                <w:b/>
                <w:bCs/>
                <w:i/>
                <w:szCs w:val="24"/>
                <w:lang w:val="en-US" w:eastAsia="ru-RU"/>
              </w:rPr>
              <w:t>Contacts for investors</w:t>
            </w:r>
          </w:p>
          <w:p w:rsidR="00115A90" w:rsidRPr="00941A06" w:rsidRDefault="00115A90" w:rsidP="00115A90">
            <w:pPr>
              <w:spacing w:after="120" w:line="240" w:lineRule="atLeast"/>
              <w:ind w:right="-143"/>
              <w:rPr>
                <w:rFonts w:ascii="Arial" w:eastAsia="Times New Roman" w:hAnsi="Arial" w:cs="Arial"/>
                <w:bCs/>
                <w:i/>
                <w:szCs w:val="24"/>
                <w:lang w:eastAsia="ru-RU"/>
              </w:rPr>
            </w:pPr>
            <w:r w:rsidRPr="00941A06">
              <w:rPr>
                <w:rFonts w:ascii="Arial" w:eastAsia="Times New Roman" w:hAnsi="Arial" w:cs="Arial"/>
                <w:bCs/>
                <w:i/>
                <w:szCs w:val="24"/>
                <w:lang w:eastAsia="ru-RU"/>
              </w:rPr>
              <w:t xml:space="preserve">+7 (495) 411-63-09  </w:t>
            </w:r>
          </w:p>
          <w:p w:rsidR="00115A90" w:rsidRPr="00941A06" w:rsidRDefault="00C05F45" w:rsidP="00115A90">
            <w:pPr>
              <w:spacing w:after="120" w:line="240" w:lineRule="atLeast"/>
              <w:ind w:right="-143"/>
              <w:rPr>
                <w:rFonts w:ascii="Arial" w:hAnsi="Arial" w:cs="Arial"/>
                <w:i/>
                <w:szCs w:val="28"/>
              </w:rPr>
            </w:pPr>
            <w:hyperlink r:id="rId12" w:history="1">
              <w:r w:rsidR="00115A90" w:rsidRPr="00941A06">
                <w:rPr>
                  <w:rStyle w:val="a4"/>
                  <w:rFonts w:ascii="Arial" w:eastAsia="Times New Roman" w:hAnsi="Arial" w:cs="Arial"/>
                  <w:bCs/>
                  <w:i/>
                  <w:szCs w:val="24"/>
                  <w:lang w:val="en-US" w:eastAsia="ru-RU"/>
                </w:rPr>
                <w:t>ir</w:t>
              </w:r>
              <w:r w:rsidR="00115A90" w:rsidRPr="009207A0">
                <w:rPr>
                  <w:rStyle w:val="a4"/>
                  <w:rFonts w:ascii="Arial" w:eastAsia="Times New Roman" w:hAnsi="Arial" w:cs="Arial"/>
                  <w:bCs/>
                  <w:i/>
                  <w:szCs w:val="24"/>
                  <w:lang w:eastAsia="ru-RU"/>
                </w:rPr>
                <w:t>@</w:t>
              </w:r>
              <w:r w:rsidR="00115A90" w:rsidRPr="00941A06">
                <w:rPr>
                  <w:rStyle w:val="a4"/>
                  <w:rFonts w:ascii="Arial" w:eastAsia="Times New Roman" w:hAnsi="Arial" w:cs="Arial"/>
                  <w:bCs/>
                  <w:i/>
                  <w:szCs w:val="24"/>
                  <w:lang w:val="en-US" w:eastAsia="ru-RU"/>
                </w:rPr>
                <w:t>russneft</w:t>
              </w:r>
              <w:r w:rsidR="00115A90" w:rsidRPr="009207A0">
                <w:rPr>
                  <w:rStyle w:val="a4"/>
                  <w:rFonts w:ascii="Arial" w:eastAsia="Times New Roman" w:hAnsi="Arial" w:cs="Arial"/>
                  <w:bCs/>
                  <w:i/>
                  <w:szCs w:val="24"/>
                  <w:lang w:eastAsia="ru-RU"/>
                </w:rPr>
                <w:t>.</w:t>
              </w:r>
              <w:proofErr w:type="spellStart"/>
              <w:r w:rsidR="00115A90" w:rsidRPr="00941A06">
                <w:rPr>
                  <w:rStyle w:val="a4"/>
                  <w:rFonts w:ascii="Arial" w:eastAsia="Times New Roman" w:hAnsi="Arial" w:cs="Arial"/>
                  <w:bCs/>
                  <w:i/>
                  <w:szCs w:val="24"/>
                  <w:lang w:val="en-US" w:eastAsia="ru-RU"/>
                </w:rPr>
                <w:t>ru</w:t>
              </w:r>
              <w:proofErr w:type="spellEnd"/>
            </w:hyperlink>
          </w:p>
        </w:tc>
      </w:tr>
    </w:tbl>
    <w:p w:rsidR="00115A90" w:rsidRDefault="00115A90"/>
    <w:p w:rsidR="00A134E4" w:rsidRPr="00924EDA" w:rsidRDefault="00924EDA" w:rsidP="00A134E4">
      <w:pPr>
        <w:spacing w:after="0" w:line="240" w:lineRule="auto"/>
        <w:jc w:val="both"/>
        <w:rPr>
          <w:rFonts w:ascii="Arial" w:hAnsi="Arial" w:cs="Arial"/>
          <w:b/>
          <w:i/>
          <w:sz w:val="20"/>
          <w:szCs w:val="28"/>
          <w:lang w:val="en-US"/>
        </w:rPr>
      </w:pPr>
      <w:r>
        <w:rPr>
          <w:rFonts w:ascii="Arial" w:hAnsi="Arial" w:cs="Arial"/>
          <w:b/>
          <w:i/>
          <w:sz w:val="20"/>
          <w:szCs w:val="28"/>
          <w:lang w:val="en-US"/>
        </w:rPr>
        <w:t>About the Company</w:t>
      </w:r>
      <w:r w:rsidR="00A134E4" w:rsidRPr="00924EDA">
        <w:rPr>
          <w:rFonts w:ascii="Arial" w:hAnsi="Arial" w:cs="Arial"/>
          <w:b/>
          <w:i/>
          <w:sz w:val="20"/>
          <w:szCs w:val="28"/>
          <w:lang w:val="en-US"/>
        </w:rPr>
        <w:t>:</w:t>
      </w:r>
    </w:p>
    <w:p w:rsidR="00BE2DBB" w:rsidRPr="00924EDA" w:rsidRDefault="00BE2DBB" w:rsidP="00BE2DBB">
      <w:pPr>
        <w:spacing w:before="120" w:after="120" w:line="240" w:lineRule="auto"/>
        <w:jc w:val="both"/>
        <w:rPr>
          <w:rFonts w:ascii="Arial" w:hAnsi="Arial" w:cs="Arial"/>
          <w:i/>
          <w:sz w:val="20"/>
          <w:szCs w:val="28"/>
          <w:lang w:val="en-US"/>
        </w:rPr>
      </w:pPr>
      <w:r w:rsidRPr="00924EDA">
        <w:rPr>
          <w:rFonts w:ascii="Arial" w:hAnsi="Arial" w:cs="Arial"/>
          <w:i/>
          <w:sz w:val="20"/>
          <w:szCs w:val="28"/>
          <w:lang w:val="en-US"/>
        </w:rPr>
        <w:t>PJSC “RussNeft” ranks among the largest oil companies by crude oil production in Russia.</w:t>
      </w:r>
    </w:p>
    <w:p w:rsidR="00BE2DBB" w:rsidRPr="00924EDA" w:rsidRDefault="00BE2DBB" w:rsidP="00BE2DBB">
      <w:pPr>
        <w:spacing w:before="120" w:after="120" w:line="240" w:lineRule="auto"/>
        <w:jc w:val="both"/>
        <w:rPr>
          <w:rFonts w:ascii="Arial" w:hAnsi="Arial" w:cs="Arial"/>
          <w:i/>
          <w:sz w:val="20"/>
          <w:szCs w:val="28"/>
          <w:lang w:val="en-US"/>
        </w:rPr>
      </w:pPr>
      <w:r w:rsidRPr="00924EDA">
        <w:rPr>
          <w:rFonts w:ascii="Arial" w:hAnsi="Arial" w:cs="Arial"/>
          <w:i/>
          <w:sz w:val="20"/>
          <w:szCs w:val="28"/>
          <w:lang w:val="en-US"/>
        </w:rPr>
        <w:t>The Company possesses a well-balanced portfolio of assets located in the key Russian oil and gas provinces (West Siberia, Volga-Urals and Central Siberia) as well as in Azerbaijan.</w:t>
      </w:r>
    </w:p>
    <w:p w:rsidR="00BE2DBB" w:rsidRPr="00BE2DBB" w:rsidRDefault="00BE2DBB" w:rsidP="00BE2DBB">
      <w:pPr>
        <w:spacing w:before="120" w:after="120" w:line="240" w:lineRule="auto"/>
        <w:jc w:val="both"/>
        <w:rPr>
          <w:rFonts w:ascii="Arial" w:hAnsi="Arial" w:cs="Arial"/>
          <w:i/>
          <w:sz w:val="20"/>
          <w:szCs w:val="28"/>
          <w:lang w:val="en-US"/>
        </w:rPr>
      </w:pPr>
      <w:r>
        <w:rPr>
          <w:rFonts w:ascii="Arial" w:hAnsi="Arial" w:cs="Arial"/>
          <w:i/>
          <w:sz w:val="20"/>
          <w:szCs w:val="28"/>
          <w:lang w:val="en-US"/>
        </w:rPr>
        <w:t xml:space="preserve">The company’s 2P reserves are over 200 million tonnes </w:t>
      </w:r>
      <w:r w:rsidR="00A134E4" w:rsidRPr="00BE2DBB">
        <w:rPr>
          <w:rFonts w:ascii="Arial" w:hAnsi="Arial" w:cs="Arial"/>
          <w:i/>
          <w:sz w:val="20"/>
          <w:szCs w:val="28"/>
          <w:lang w:val="en-US"/>
        </w:rPr>
        <w:t>(SPE)</w:t>
      </w:r>
      <w:r w:rsidR="00A355A7" w:rsidRPr="00887FA6">
        <w:rPr>
          <w:rStyle w:val="a7"/>
          <w:rFonts w:ascii="Arial" w:hAnsi="Arial" w:cs="Arial"/>
          <w:i/>
          <w:sz w:val="20"/>
          <w:szCs w:val="28"/>
        </w:rPr>
        <w:footnoteReference w:id="6"/>
      </w:r>
      <w:r w:rsidR="00A134E4" w:rsidRPr="00BE2DBB">
        <w:rPr>
          <w:rFonts w:ascii="Arial" w:hAnsi="Arial" w:cs="Arial"/>
          <w:i/>
          <w:sz w:val="20"/>
          <w:szCs w:val="28"/>
          <w:lang w:val="en-US"/>
        </w:rPr>
        <w:t xml:space="preserve">. </w:t>
      </w:r>
      <w:r w:rsidRPr="00BE2DBB">
        <w:rPr>
          <w:rFonts w:ascii="Arial" w:hAnsi="Arial" w:cs="Arial"/>
          <w:i/>
          <w:sz w:val="20"/>
          <w:szCs w:val="28"/>
          <w:lang w:val="en-US"/>
        </w:rPr>
        <w:t>The number of the Company’s personnel is around 10,000.</w:t>
      </w:r>
    </w:p>
    <w:p w:rsidR="00941A06" w:rsidRPr="00550698" w:rsidRDefault="00A134E4" w:rsidP="003E563D">
      <w:pPr>
        <w:spacing w:before="120" w:after="120" w:line="240" w:lineRule="auto"/>
        <w:jc w:val="both"/>
        <w:rPr>
          <w:rFonts w:ascii="Arial" w:hAnsi="Arial" w:cs="Arial"/>
          <w:i/>
          <w:szCs w:val="28"/>
          <w:lang w:val="en-US"/>
        </w:rPr>
      </w:pPr>
      <w:r w:rsidRPr="00550698">
        <w:rPr>
          <w:rFonts w:ascii="Arial" w:hAnsi="Arial" w:cs="Arial"/>
          <w:i/>
          <w:sz w:val="20"/>
          <w:szCs w:val="28"/>
          <w:lang w:val="en-US"/>
        </w:rPr>
        <w:t xml:space="preserve"> </w:t>
      </w:r>
      <w:r w:rsidR="00550698">
        <w:rPr>
          <w:rFonts w:ascii="Arial" w:hAnsi="Arial" w:cs="Arial"/>
          <w:i/>
          <w:sz w:val="20"/>
          <w:szCs w:val="28"/>
          <w:lang w:val="en-US"/>
        </w:rPr>
        <w:t xml:space="preserve">The charter capital of the Company consists of </w:t>
      </w:r>
      <w:r w:rsidR="00550698" w:rsidRPr="00550698">
        <w:rPr>
          <w:rFonts w:ascii="Arial" w:hAnsi="Arial" w:cs="Arial"/>
          <w:i/>
          <w:sz w:val="20"/>
          <w:szCs w:val="28"/>
          <w:lang w:val="en-US"/>
        </w:rPr>
        <w:t>294 120</w:t>
      </w:r>
      <w:r w:rsidR="00550698">
        <w:rPr>
          <w:rFonts w:ascii="Arial" w:hAnsi="Arial" w:cs="Arial"/>
          <w:i/>
          <w:sz w:val="20"/>
          <w:szCs w:val="28"/>
          <w:lang w:val="en-US"/>
        </w:rPr>
        <w:t> </w:t>
      </w:r>
      <w:r w:rsidR="00550698" w:rsidRPr="00550698">
        <w:rPr>
          <w:rFonts w:ascii="Arial" w:hAnsi="Arial" w:cs="Arial"/>
          <w:i/>
          <w:sz w:val="20"/>
          <w:szCs w:val="28"/>
          <w:lang w:val="en-US"/>
        </w:rPr>
        <w:t>000</w:t>
      </w:r>
      <w:r w:rsidR="00550698">
        <w:rPr>
          <w:rFonts w:ascii="Arial" w:hAnsi="Arial" w:cs="Arial"/>
          <w:i/>
          <w:sz w:val="20"/>
          <w:szCs w:val="28"/>
          <w:lang w:val="en-US"/>
        </w:rPr>
        <w:t xml:space="preserve"> ordinary shares and </w:t>
      </w:r>
      <w:r w:rsidR="00550698" w:rsidRPr="00550698">
        <w:rPr>
          <w:rFonts w:ascii="Arial" w:hAnsi="Arial" w:cs="Arial"/>
          <w:i/>
          <w:sz w:val="20"/>
          <w:szCs w:val="28"/>
          <w:lang w:val="en-US"/>
        </w:rPr>
        <w:t>98 032</w:t>
      </w:r>
      <w:r w:rsidR="00550698">
        <w:rPr>
          <w:rFonts w:ascii="Arial" w:hAnsi="Arial" w:cs="Arial"/>
          <w:i/>
          <w:sz w:val="20"/>
          <w:szCs w:val="28"/>
          <w:lang w:val="en-US"/>
        </w:rPr>
        <w:t> </w:t>
      </w:r>
      <w:r w:rsidR="00550698" w:rsidRPr="00550698">
        <w:rPr>
          <w:rFonts w:ascii="Arial" w:hAnsi="Arial" w:cs="Arial"/>
          <w:i/>
          <w:sz w:val="20"/>
          <w:szCs w:val="28"/>
          <w:lang w:val="en-US"/>
        </w:rPr>
        <w:t>000</w:t>
      </w:r>
      <w:r w:rsidR="00550698">
        <w:rPr>
          <w:rFonts w:ascii="Arial" w:hAnsi="Arial" w:cs="Arial"/>
          <w:i/>
          <w:sz w:val="20"/>
          <w:szCs w:val="28"/>
          <w:lang w:val="en-US"/>
        </w:rPr>
        <w:t xml:space="preserve"> preferred shares, whilst 20% of the voting shares are traded at the Moscow Exchange</w:t>
      </w:r>
      <w:r w:rsidR="00D76A21" w:rsidRPr="00550698">
        <w:rPr>
          <w:rFonts w:ascii="Arial" w:hAnsi="Arial" w:cs="Arial"/>
          <w:i/>
          <w:sz w:val="20"/>
          <w:szCs w:val="28"/>
          <w:lang w:val="en-US"/>
        </w:rPr>
        <w:t xml:space="preserve"> (MOEX:</w:t>
      </w:r>
      <w:r w:rsidR="00550698">
        <w:rPr>
          <w:rFonts w:ascii="Arial" w:hAnsi="Arial" w:cs="Arial"/>
          <w:i/>
          <w:sz w:val="20"/>
          <w:szCs w:val="28"/>
          <w:lang w:val="en-US"/>
        </w:rPr>
        <w:t xml:space="preserve"> </w:t>
      </w:r>
      <w:r w:rsidR="00D76A21" w:rsidRPr="00550698">
        <w:rPr>
          <w:rFonts w:ascii="Arial" w:hAnsi="Arial" w:cs="Arial"/>
          <w:i/>
          <w:sz w:val="20"/>
          <w:szCs w:val="28"/>
          <w:lang w:val="en-US"/>
        </w:rPr>
        <w:t>RNF</w:t>
      </w:r>
      <w:r w:rsidR="00D76A21" w:rsidRPr="00D76A21">
        <w:rPr>
          <w:rFonts w:ascii="Arial" w:hAnsi="Arial" w:cs="Arial"/>
          <w:i/>
          <w:sz w:val="20"/>
          <w:szCs w:val="28"/>
        </w:rPr>
        <w:t>Т</w:t>
      </w:r>
      <w:r w:rsidR="00D76A21" w:rsidRPr="00550698">
        <w:rPr>
          <w:rFonts w:ascii="Arial" w:hAnsi="Arial" w:cs="Arial"/>
          <w:i/>
          <w:sz w:val="20"/>
          <w:szCs w:val="28"/>
          <w:lang w:val="en-US"/>
        </w:rPr>
        <w:t>)</w:t>
      </w:r>
      <w:r w:rsidRPr="00550698">
        <w:rPr>
          <w:rFonts w:ascii="Arial" w:hAnsi="Arial" w:cs="Arial"/>
          <w:i/>
          <w:sz w:val="20"/>
          <w:szCs w:val="28"/>
          <w:lang w:val="en-US"/>
        </w:rPr>
        <w:t>.</w:t>
      </w:r>
    </w:p>
    <w:sectPr w:rsidR="00941A06" w:rsidRPr="00550698">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1E9" w:rsidRDefault="006031E9" w:rsidP="00DE1826">
      <w:pPr>
        <w:spacing w:after="0" w:line="240" w:lineRule="auto"/>
      </w:pPr>
      <w:r>
        <w:separator/>
      </w:r>
    </w:p>
  </w:endnote>
  <w:endnote w:type="continuationSeparator" w:id="0">
    <w:p w:rsidR="006031E9" w:rsidRDefault="006031E9" w:rsidP="00DE1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OpenSans-Bold">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1E9" w:rsidRDefault="006031E9" w:rsidP="00DE1826">
      <w:pPr>
        <w:spacing w:after="0" w:line="240" w:lineRule="auto"/>
      </w:pPr>
      <w:r>
        <w:separator/>
      </w:r>
    </w:p>
  </w:footnote>
  <w:footnote w:type="continuationSeparator" w:id="0">
    <w:p w:rsidR="006031E9" w:rsidRDefault="006031E9" w:rsidP="00DE1826">
      <w:pPr>
        <w:spacing w:after="0" w:line="240" w:lineRule="auto"/>
      </w:pPr>
      <w:r>
        <w:continuationSeparator/>
      </w:r>
    </w:p>
  </w:footnote>
  <w:footnote w:id="1">
    <w:p w:rsidR="00FF68CB" w:rsidRPr="00692AB6" w:rsidRDefault="00FF68CB">
      <w:pPr>
        <w:pStyle w:val="a5"/>
        <w:rPr>
          <w:lang w:val="en-US"/>
        </w:rPr>
      </w:pPr>
      <w:r>
        <w:rPr>
          <w:rStyle w:val="a7"/>
        </w:rPr>
        <w:footnoteRef/>
      </w:r>
      <w:r w:rsidRPr="00692AB6">
        <w:rPr>
          <w:lang w:val="en-US"/>
        </w:rPr>
        <w:t xml:space="preserve"> </w:t>
      </w:r>
      <w:r w:rsidR="00692AB6">
        <w:rPr>
          <w:lang w:val="en-US"/>
        </w:rPr>
        <w:t>W</w:t>
      </w:r>
      <w:r w:rsidR="00692AB6" w:rsidRPr="00692AB6">
        <w:rPr>
          <w:lang w:val="en-US"/>
        </w:rPr>
        <w:t>/</w:t>
      </w:r>
      <w:r w:rsidR="00692AB6">
        <w:rPr>
          <w:lang w:val="en-US"/>
        </w:rPr>
        <w:t>o</w:t>
      </w:r>
      <w:r w:rsidR="00692AB6" w:rsidRPr="00692AB6">
        <w:rPr>
          <w:lang w:val="en-US"/>
        </w:rPr>
        <w:t xml:space="preserve"> </w:t>
      </w:r>
      <w:r w:rsidR="00692AB6">
        <w:rPr>
          <w:lang w:val="en-US"/>
        </w:rPr>
        <w:t>accounting</w:t>
      </w:r>
      <w:r w:rsidR="00692AB6" w:rsidRPr="00692AB6">
        <w:rPr>
          <w:lang w:val="en-US"/>
        </w:rPr>
        <w:t xml:space="preserve"> </w:t>
      </w:r>
      <w:r w:rsidR="00692AB6">
        <w:rPr>
          <w:lang w:val="en-US"/>
        </w:rPr>
        <w:t>for</w:t>
      </w:r>
      <w:r w:rsidR="00692AB6" w:rsidRPr="00692AB6">
        <w:rPr>
          <w:lang w:val="en-US"/>
        </w:rPr>
        <w:t xml:space="preserve"> </w:t>
      </w:r>
      <w:r w:rsidR="00692AB6">
        <w:rPr>
          <w:lang w:val="en-US"/>
        </w:rPr>
        <w:t>currency</w:t>
      </w:r>
      <w:r w:rsidR="00692AB6" w:rsidRPr="00692AB6">
        <w:rPr>
          <w:lang w:val="en-US"/>
        </w:rPr>
        <w:t xml:space="preserve"> </w:t>
      </w:r>
      <w:r w:rsidR="00692AB6">
        <w:rPr>
          <w:lang w:val="en-US"/>
        </w:rPr>
        <w:t>exchange</w:t>
      </w:r>
      <w:r w:rsidR="00692AB6" w:rsidRPr="00692AB6">
        <w:rPr>
          <w:lang w:val="en-US"/>
        </w:rPr>
        <w:t xml:space="preserve"> </w:t>
      </w:r>
      <w:r w:rsidR="00692AB6">
        <w:rPr>
          <w:lang w:val="en-US"/>
        </w:rPr>
        <w:t>differences and financial instruments fair value readjustment</w:t>
      </w:r>
    </w:p>
  </w:footnote>
  <w:footnote w:id="2">
    <w:p w:rsidR="00FF68CB" w:rsidRPr="00692AB6" w:rsidRDefault="00FF68CB">
      <w:pPr>
        <w:pStyle w:val="a5"/>
        <w:rPr>
          <w:lang w:val="en-US"/>
        </w:rPr>
      </w:pPr>
      <w:r>
        <w:rPr>
          <w:rStyle w:val="a7"/>
        </w:rPr>
        <w:footnoteRef/>
      </w:r>
      <w:r w:rsidR="00550698">
        <w:rPr>
          <w:lang w:val="en-US"/>
        </w:rPr>
        <w:t xml:space="preserve"> </w:t>
      </w:r>
      <w:r w:rsidR="00692AB6">
        <w:rPr>
          <w:lang w:val="en-US"/>
        </w:rPr>
        <w:t>Including production from international projects</w:t>
      </w:r>
    </w:p>
  </w:footnote>
  <w:footnote w:id="3">
    <w:p w:rsidR="00FF68CB" w:rsidRPr="00CA7D08" w:rsidRDefault="00FF68CB">
      <w:pPr>
        <w:pStyle w:val="a5"/>
        <w:rPr>
          <w:lang w:val="en-US"/>
        </w:rPr>
      </w:pPr>
      <w:r>
        <w:rPr>
          <w:rStyle w:val="a7"/>
        </w:rPr>
        <w:footnoteRef/>
      </w:r>
      <w:r w:rsidRPr="00CA7D08">
        <w:rPr>
          <w:lang w:val="en-US"/>
        </w:rPr>
        <w:t xml:space="preserve"> </w:t>
      </w:r>
      <w:r>
        <w:rPr>
          <w:lang w:val="en-US"/>
        </w:rPr>
        <w:t>EBITDA</w:t>
      </w:r>
      <w:r w:rsidRPr="00CA7D08">
        <w:rPr>
          <w:lang w:val="en-US"/>
        </w:rPr>
        <w:t xml:space="preserve"> </w:t>
      </w:r>
      <w:r w:rsidR="00CA7D08">
        <w:rPr>
          <w:lang w:val="en-US"/>
        </w:rPr>
        <w:t>does not account for the currency exchange differences and nonmonetary items</w:t>
      </w:r>
    </w:p>
  </w:footnote>
  <w:footnote w:id="4">
    <w:p w:rsidR="00FF68CB" w:rsidRPr="00CA7D08" w:rsidRDefault="00FF68CB">
      <w:pPr>
        <w:pStyle w:val="a5"/>
        <w:rPr>
          <w:lang w:val="en-US"/>
        </w:rPr>
      </w:pPr>
      <w:r>
        <w:rPr>
          <w:rStyle w:val="a7"/>
        </w:rPr>
        <w:footnoteRef/>
      </w:r>
      <w:r w:rsidR="00550698">
        <w:rPr>
          <w:lang w:val="en-US"/>
        </w:rPr>
        <w:t xml:space="preserve"> </w:t>
      </w:r>
      <w:r>
        <w:rPr>
          <w:lang w:val="en-US"/>
        </w:rPr>
        <w:t>OIBDA</w:t>
      </w:r>
      <w:r w:rsidR="00CA7D08">
        <w:rPr>
          <w:lang w:val="en-US"/>
        </w:rPr>
        <w:t xml:space="preserve"> does not account for other operational expenses and nonmonetary items</w:t>
      </w:r>
    </w:p>
  </w:footnote>
  <w:footnote w:id="5">
    <w:p w:rsidR="00FF68CB" w:rsidRPr="00CA7D08" w:rsidRDefault="00FF68CB">
      <w:pPr>
        <w:pStyle w:val="a5"/>
        <w:rPr>
          <w:lang w:val="en-US"/>
        </w:rPr>
      </w:pPr>
      <w:r>
        <w:rPr>
          <w:rStyle w:val="a7"/>
        </w:rPr>
        <w:footnoteRef/>
      </w:r>
      <w:r w:rsidRPr="00CA7D08">
        <w:rPr>
          <w:lang w:val="en-US"/>
        </w:rPr>
        <w:t xml:space="preserve"> </w:t>
      </w:r>
      <w:r w:rsidR="00CA7D08">
        <w:rPr>
          <w:lang w:val="en-US"/>
        </w:rPr>
        <w:t>W/o accounting for currency exchange differences and financial instruments fair value readjustment</w:t>
      </w:r>
    </w:p>
  </w:footnote>
  <w:footnote w:id="6">
    <w:p w:rsidR="00A355A7" w:rsidRPr="00550698" w:rsidRDefault="00A355A7">
      <w:pPr>
        <w:pStyle w:val="a5"/>
        <w:rPr>
          <w:lang w:val="en-US"/>
        </w:rPr>
      </w:pPr>
      <w:r w:rsidRPr="00A355A7">
        <w:footnoteRef/>
      </w:r>
      <w:r w:rsidRPr="00550698">
        <w:rPr>
          <w:lang w:val="en-US"/>
        </w:rPr>
        <w:t xml:space="preserve"> </w:t>
      </w:r>
      <w:r w:rsidR="00550698">
        <w:rPr>
          <w:lang w:val="en-US"/>
        </w:rPr>
        <w:t>W/o accounting for the reserves under the international projects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8CB" w:rsidRPr="00692AB6" w:rsidRDefault="00FF68CB" w:rsidP="00692AB6">
    <w:pPr>
      <w:pStyle w:val="a9"/>
      <w:tabs>
        <w:tab w:val="left" w:pos="9355"/>
      </w:tabs>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2D6E"/>
    <w:multiLevelType w:val="hybridMultilevel"/>
    <w:tmpl w:val="3C58856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530C96"/>
    <w:multiLevelType w:val="hybridMultilevel"/>
    <w:tmpl w:val="050C0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156871"/>
    <w:multiLevelType w:val="hybridMultilevel"/>
    <w:tmpl w:val="1A12A738"/>
    <w:lvl w:ilvl="0" w:tplc="7922A2E2">
      <w:start w:val="1"/>
      <w:numFmt w:val="bullet"/>
      <w:lvlText w:val="•"/>
      <w:lvlJc w:val="left"/>
      <w:pPr>
        <w:tabs>
          <w:tab w:val="num" w:pos="720"/>
        </w:tabs>
        <w:ind w:left="720" w:hanging="360"/>
      </w:pPr>
      <w:rPr>
        <w:rFonts w:ascii="Arial" w:hAnsi="Arial" w:hint="default"/>
      </w:rPr>
    </w:lvl>
    <w:lvl w:ilvl="1" w:tplc="33B63E04" w:tentative="1">
      <w:start w:val="1"/>
      <w:numFmt w:val="bullet"/>
      <w:lvlText w:val="•"/>
      <w:lvlJc w:val="left"/>
      <w:pPr>
        <w:tabs>
          <w:tab w:val="num" w:pos="1440"/>
        </w:tabs>
        <w:ind w:left="1440" w:hanging="360"/>
      </w:pPr>
      <w:rPr>
        <w:rFonts w:ascii="Arial" w:hAnsi="Arial" w:hint="default"/>
      </w:rPr>
    </w:lvl>
    <w:lvl w:ilvl="2" w:tplc="7ABE6F40" w:tentative="1">
      <w:start w:val="1"/>
      <w:numFmt w:val="bullet"/>
      <w:lvlText w:val="•"/>
      <w:lvlJc w:val="left"/>
      <w:pPr>
        <w:tabs>
          <w:tab w:val="num" w:pos="2160"/>
        </w:tabs>
        <w:ind w:left="2160" w:hanging="360"/>
      </w:pPr>
      <w:rPr>
        <w:rFonts w:ascii="Arial" w:hAnsi="Arial" w:hint="default"/>
      </w:rPr>
    </w:lvl>
    <w:lvl w:ilvl="3" w:tplc="48762654" w:tentative="1">
      <w:start w:val="1"/>
      <w:numFmt w:val="bullet"/>
      <w:lvlText w:val="•"/>
      <w:lvlJc w:val="left"/>
      <w:pPr>
        <w:tabs>
          <w:tab w:val="num" w:pos="2880"/>
        </w:tabs>
        <w:ind w:left="2880" w:hanging="360"/>
      </w:pPr>
      <w:rPr>
        <w:rFonts w:ascii="Arial" w:hAnsi="Arial" w:hint="default"/>
      </w:rPr>
    </w:lvl>
    <w:lvl w:ilvl="4" w:tplc="CD0CC050" w:tentative="1">
      <w:start w:val="1"/>
      <w:numFmt w:val="bullet"/>
      <w:lvlText w:val="•"/>
      <w:lvlJc w:val="left"/>
      <w:pPr>
        <w:tabs>
          <w:tab w:val="num" w:pos="3600"/>
        </w:tabs>
        <w:ind w:left="3600" w:hanging="360"/>
      </w:pPr>
      <w:rPr>
        <w:rFonts w:ascii="Arial" w:hAnsi="Arial" w:hint="default"/>
      </w:rPr>
    </w:lvl>
    <w:lvl w:ilvl="5" w:tplc="5DBC665E" w:tentative="1">
      <w:start w:val="1"/>
      <w:numFmt w:val="bullet"/>
      <w:lvlText w:val="•"/>
      <w:lvlJc w:val="left"/>
      <w:pPr>
        <w:tabs>
          <w:tab w:val="num" w:pos="4320"/>
        </w:tabs>
        <w:ind w:left="4320" w:hanging="360"/>
      </w:pPr>
      <w:rPr>
        <w:rFonts w:ascii="Arial" w:hAnsi="Arial" w:hint="default"/>
      </w:rPr>
    </w:lvl>
    <w:lvl w:ilvl="6" w:tplc="C284C14A" w:tentative="1">
      <w:start w:val="1"/>
      <w:numFmt w:val="bullet"/>
      <w:lvlText w:val="•"/>
      <w:lvlJc w:val="left"/>
      <w:pPr>
        <w:tabs>
          <w:tab w:val="num" w:pos="5040"/>
        </w:tabs>
        <w:ind w:left="5040" w:hanging="360"/>
      </w:pPr>
      <w:rPr>
        <w:rFonts w:ascii="Arial" w:hAnsi="Arial" w:hint="default"/>
      </w:rPr>
    </w:lvl>
    <w:lvl w:ilvl="7" w:tplc="B364718A" w:tentative="1">
      <w:start w:val="1"/>
      <w:numFmt w:val="bullet"/>
      <w:lvlText w:val="•"/>
      <w:lvlJc w:val="left"/>
      <w:pPr>
        <w:tabs>
          <w:tab w:val="num" w:pos="5760"/>
        </w:tabs>
        <w:ind w:left="5760" w:hanging="360"/>
      </w:pPr>
      <w:rPr>
        <w:rFonts w:ascii="Arial" w:hAnsi="Arial" w:hint="default"/>
      </w:rPr>
    </w:lvl>
    <w:lvl w:ilvl="8" w:tplc="2C96BA58" w:tentative="1">
      <w:start w:val="1"/>
      <w:numFmt w:val="bullet"/>
      <w:lvlText w:val="•"/>
      <w:lvlJc w:val="left"/>
      <w:pPr>
        <w:tabs>
          <w:tab w:val="num" w:pos="6480"/>
        </w:tabs>
        <w:ind w:left="6480" w:hanging="360"/>
      </w:pPr>
      <w:rPr>
        <w:rFonts w:ascii="Arial" w:hAnsi="Arial" w:hint="default"/>
      </w:rPr>
    </w:lvl>
  </w:abstractNum>
  <w:abstractNum w:abstractNumId="3">
    <w:nsid w:val="362C02DA"/>
    <w:multiLevelType w:val="hybridMultilevel"/>
    <w:tmpl w:val="2786CB6E"/>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
    <w:nsid w:val="52C47C31"/>
    <w:multiLevelType w:val="hybridMultilevel"/>
    <w:tmpl w:val="6FD6F466"/>
    <w:lvl w:ilvl="0" w:tplc="72662262">
      <w:start w:val="1"/>
      <w:numFmt w:val="bullet"/>
      <w:lvlText w:val=""/>
      <w:lvlJc w:val="left"/>
      <w:pPr>
        <w:tabs>
          <w:tab w:val="num" w:pos="720"/>
        </w:tabs>
        <w:ind w:left="720" w:hanging="360"/>
      </w:pPr>
      <w:rPr>
        <w:rFonts w:ascii="Wingdings" w:hAnsi="Wingdings" w:hint="default"/>
      </w:rPr>
    </w:lvl>
    <w:lvl w:ilvl="1" w:tplc="4D8EBA9E">
      <w:start w:val="1"/>
      <w:numFmt w:val="bullet"/>
      <w:lvlText w:val=""/>
      <w:lvlJc w:val="left"/>
      <w:pPr>
        <w:tabs>
          <w:tab w:val="num" w:pos="1440"/>
        </w:tabs>
        <w:ind w:left="1440" w:hanging="360"/>
      </w:pPr>
      <w:rPr>
        <w:rFonts w:ascii="Wingdings" w:hAnsi="Wingdings" w:hint="default"/>
      </w:rPr>
    </w:lvl>
    <w:lvl w:ilvl="2" w:tplc="C3BEFED2" w:tentative="1">
      <w:start w:val="1"/>
      <w:numFmt w:val="bullet"/>
      <w:lvlText w:val=""/>
      <w:lvlJc w:val="left"/>
      <w:pPr>
        <w:tabs>
          <w:tab w:val="num" w:pos="2160"/>
        </w:tabs>
        <w:ind w:left="2160" w:hanging="360"/>
      </w:pPr>
      <w:rPr>
        <w:rFonts w:ascii="Wingdings" w:hAnsi="Wingdings" w:hint="default"/>
      </w:rPr>
    </w:lvl>
    <w:lvl w:ilvl="3" w:tplc="886AEA92" w:tentative="1">
      <w:start w:val="1"/>
      <w:numFmt w:val="bullet"/>
      <w:lvlText w:val=""/>
      <w:lvlJc w:val="left"/>
      <w:pPr>
        <w:tabs>
          <w:tab w:val="num" w:pos="2880"/>
        </w:tabs>
        <w:ind w:left="2880" w:hanging="360"/>
      </w:pPr>
      <w:rPr>
        <w:rFonts w:ascii="Wingdings" w:hAnsi="Wingdings" w:hint="default"/>
      </w:rPr>
    </w:lvl>
    <w:lvl w:ilvl="4" w:tplc="86306120" w:tentative="1">
      <w:start w:val="1"/>
      <w:numFmt w:val="bullet"/>
      <w:lvlText w:val=""/>
      <w:lvlJc w:val="left"/>
      <w:pPr>
        <w:tabs>
          <w:tab w:val="num" w:pos="3600"/>
        </w:tabs>
        <w:ind w:left="3600" w:hanging="360"/>
      </w:pPr>
      <w:rPr>
        <w:rFonts w:ascii="Wingdings" w:hAnsi="Wingdings" w:hint="default"/>
      </w:rPr>
    </w:lvl>
    <w:lvl w:ilvl="5" w:tplc="6C68346C" w:tentative="1">
      <w:start w:val="1"/>
      <w:numFmt w:val="bullet"/>
      <w:lvlText w:val=""/>
      <w:lvlJc w:val="left"/>
      <w:pPr>
        <w:tabs>
          <w:tab w:val="num" w:pos="4320"/>
        </w:tabs>
        <w:ind w:left="4320" w:hanging="360"/>
      </w:pPr>
      <w:rPr>
        <w:rFonts w:ascii="Wingdings" w:hAnsi="Wingdings" w:hint="default"/>
      </w:rPr>
    </w:lvl>
    <w:lvl w:ilvl="6" w:tplc="63843826" w:tentative="1">
      <w:start w:val="1"/>
      <w:numFmt w:val="bullet"/>
      <w:lvlText w:val=""/>
      <w:lvlJc w:val="left"/>
      <w:pPr>
        <w:tabs>
          <w:tab w:val="num" w:pos="5040"/>
        </w:tabs>
        <w:ind w:left="5040" w:hanging="360"/>
      </w:pPr>
      <w:rPr>
        <w:rFonts w:ascii="Wingdings" w:hAnsi="Wingdings" w:hint="default"/>
      </w:rPr>
    </w:lvl>
    <w:lvl w:ilvl="7" w:tplc="732A9DA8" w:tentative="1">
      <w:start w:val="1"/>
      <w:numFmt w:val="bullet"/>
      <w:lvlText w:val=""/>
      <w:lvlJc w:val="left"/>
      <w:pPr>
        <w:tabs>
          <w:tab w:val="num" w:pos="5760"/>
        </w:tabs>
        <w:ind w:left="5760" w:hanging="360"/>
      </w:pPr>
      <w:rPr>
        <w:rFonts w:ascii="Wingdings" w:hAnsi="Wingdings" w:hint="default"/>
      </w:rPr>
    </w:lvl>
    <w:lvl w:ilvl="8" w:tplc="E416DC26" w:tentative="1">
      <w:start w:val="1"/>
      <w:numFmt w:val="bullet"/>
      <w:lvlText w:val=""/>
      <w:lvlJc w:val="left"/>
      <w:pPr>
        <w:tabs>
          <w:tab w:val="num" w:pos="6480"/>
        </w:tabs>
        <w:ind w:left="6480" w:hanging="360"/>
      </w:pPr>
      <w:rPr>
        <w:rFonts w:ascii="Wingdings" w:hAnsi="Wingdings" w:hint="default"/>
      </w:rPr>
    </w:lvl>
  </w:abstractNum>
  <w:abstractNum w:abstractNumId="5">
    <w:nsid w:val="56B23BC0"/>
    <w:multiLevelType w:val="hybridMultilevel"/>
    <w:tmpl w:val="CA7C9CC2"/>
    <w:lvl w:ilvl="0" w:tplc="04190001">
      <w:start w:val="1"/>
      <w:numFmt w:val="bullet"/>
      <w:lvlText w:val=""/>
      <w:lvlJc w:val="left"/>
      <w:pPr>
        <w:ind w:left="1183" w:hanging="360"/>
      </w:pPr>
      <w:rPr>
        <w:rFonts w:ascii="Symbol" w:hAnsi="Symbol" w:hint="default"/>
      </w:rPr>
    </w:lvl>
    <w:lvl w:ilvl="1" w:tplc="04190003" w:tentative="1">
      <w:start w:val="1"/>
      <w:numFmt w:val="bullet"/>
      <w:lvlText w:val="o"/>
      <w:lvlJc w:val="left"/>
      <w:pPr>
        <w:ind w:left="1903" w:hanging="360"/>
      </w:pPr>
      <w:rPr>
        <w:rFonts w:ascii="Courier New" w:hAnsi="Courier New" w:cs="Courier New" w:hint="default"/>
      </w:rPr>
    </w:lvl>
    <w:lvl w:ilvl="2" w:tplc="04190005" w:tentative="1">
      <w:start w:val="1"/>
      <w:numFmt w:val="bullet"/>
      <w:lvlText w:val=""/>
      <w:lvlJc w:val="left"/>
      <w:pPr>
        <w:ind w:left="2623" w:hanging="360"/>
      </w:pPr>
      <w:rPr>
        <w:rFonts w:ascii="Wingdings" w:hAnsi="Wingdings" w:hint="default"/>
      </w:rPr>
    </w:lvl>
    <w:lvl w:ilvl="3" w:tplc="04190001" w:tentative="1">
      <w:start w:val="1"/>
      <w:numFmt w:val="bullet"/>
      <w:lvlText w:val=""/>
      <w:lvlJc w:val="left"/>
      <w:pPr>
        <w:ind w:left="3343" w:hanging="360"/>
      </w:pPr>
      <w:rPr>
        <w:rFonts w:ascii="Symbol" w:hAnsi="Symbol" w:hint="default"/>
      </w:rPr>
    </w:lvl>
    <w:lvl w:ilvl="4" w:tplc="04190003" w:tentative="1">
      <w:start w:val="1"/>
      <w:numFmt w:val="bullet"/>
      <w:lvlText w:val="o"/>
      <w:lvlJc w:val="left"/>
      <w:pPr>
        <w:ind w:left="4063" w:hanging="360"/>
      </w:pPr>
      <w:rPr>
        <w:rFonts w:ascii="Courier New" w:hAnsi="Courier New" w:cs="Courier New" w:hint="default"/>
      </w:rPr>
    </w:lvl>
    <w:lvl w:ilvl="5" w:tplc="04190005" w:tentative="1">
      <w:start w:val="1"/>
      <w:numFmt w:val="bullet"/>
      <w:lvlText w:val=""/>
      <w:lvlJc w:val="left"/>
      <w:pPr>
        <w:ind w:left="4783" w:hanging="360"/>
      </w:pPr>
      <w:rPr>
        <w:rFonts w:ascii="Wingdings" w:hAnsi="Wingdings" w:hint="default"/>
      </w:rPr>
    </w:lvl>
    <w:lvl w:ilvl="6" w:tplc="04190001" w:tentative="1">
      <w:start w:val="1"/>
      <w:numFmt w:val="bullet"/>
      <w:lvlText w:val=""/>
      <w:lvlJc w:val="left"/>
      <w:pPr>
        <w:ind w:left="5503" w:hanging="360"/>
      </w:pPr>
      <w:rPr>
        <w:rFonts w:ascii="Symbol" w:hAnsi="Symbol" w:hint="default"/>
      </w:rPr>
    </w:lvl>
    <w:lvl w:ilvl="7" w:tplc="04190003" w:tentative="1">
      <w:start w:val="1"/>
      <w:numFmt w:val="bullet"/>
      <w:lvlText w:val="o"/>
      <w:lvlJc w:val="left"/>
      <w:pPr>
        <w:ind w:left="6223" w:hanging="360"/>
      </w:pPr>
      <w:rPr>
        <w:rFonts w:ascii="Courier New" w:hAnsi="Courier New" w:cs="Courier New" w:hint="default"/>
      </w:rPr>
    </w:lvl>
    <w:lvl w:ilvl="8" w:tplc="04190005" w:tentative="1">
      <w:start w:val="1"/>
      <w:numFmt w:val="bullet"/>
      <w:lvlText w:val=""/>
      <w:lvlJc w:val="left"/>
      <w:pPr>
        <w:ind w:left="6943" w:hanging="360"/>
      </w:pPr>
      <w:rPr>
        <w:rFonts w:ascii="Wingdings" w:hAnsi="Wingdings" w:hint="default"/>
      </w:rPr>
    </w:lvl>
  </w:abstractNum>
  <w:abstractNum w:abstractNumId="6">
    <w:nsid w:val="5D57291D"/>
    <w:multiLevelType w:val="hybridMultilevel"/>
    <w:tmpl w:val="E3920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844991"/>
    <w:multiLevelType w:val="hybridMultilevel"/>
    <w:tmpl w:val="EF40050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8C87FD0"/>
    <w:multiLevelType w:val="hybridMultilevel"/>
    <w:tmpl w:val="5B4E163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9">
    <w:nsid w:val="6A2D0C91"/>
    <w:multiLevelType w:val="hybridMultilevel"/>
    <w:tmpl w:val="B0681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BA27E50"/>
    <w:multiLevelType w:val="hybridMultilevel"/>
    <w:tmpl w:val="EF3C9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510B5E"/>
    <w:multiLevelType w:val="hybridMultilevel"/>
    <w:tmpl w:val="7FF6A75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1"/>
  </w:num>
  <w:num w:numId="4">
    <w:abstractNumId w:val="6"/>
  </w:num>
  <w:num w:numId="5">
    <w:abstractNumId w:val="2"/>
  </w:num>
  <w:num w:numId="6">
    <w:abstractNumId w:val="5"/>
  </w:num>
  <w:num w:numId="7">
    <w:abstractNumId w:val="3"/>
  </w:num>
  <w:num w:numId="8">
    <w:abstractNumId w:val="1"/>
  </w:num>
  <w:num w:numId="9">
    <w:abstractNumId w:val="8"/>
  </w:num>
  <w:num w:numId="10">
    <w:abstractNumId w:val="10"/>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5FA"/>
    <w:rsid w:val="00000EB3"/>
    <w:rsid w:val="00003A20"/>
    <w:rsid w:val="00033EDA"/>
    <w:rsid w:val="000360E3"/>
    <w:rsid w:val="000377C5"/>
    <w:rsid w:val="00051F11"/>
    <w:rsid w:val="0007621A"/>
    <w:rsid w:val="00077A6F"/>
    <w:rsid w:val="00082BFA"/>
    <w:rsid w:val="00093A13"/>
    <w:rsid w:val="00093D7F"/>
    <w:rsid w:val="000E40F4"/>
    <w:rsid w:val="000E6196"/>
    <w:rsid w:val="00102E0E"/>
    <w:rsid w:val="00113572"/>
    <w:rsid w:val="00115A90"/>
    <w:rsid w:val="00130AC7"/>
    <w:rsid w:val="001378E3"/>
    <w:rsid w:val="00151C6A"/>
    <w:rsid w:val="001532E2"/>
    <w:rsid w:val="001541F6"/>
    <w:rsid w:val="00155D5B"/>
    <w:rsid w:val="00157349"/>
    <w:rsid w:val="001740C9"/>
    <w:rsid w:val="0017555D"/>
    <w:rsid w:val="00184054"/>
    <w:rsid w:val="001D1034"/>
    <w:rsid w:val="001E251F"/>
    <w:rsid w:val="002013E8"/>
    <w:rsid w:val="00202185"/>
    <w:rsid w:val="00220290"/>
    <w:rsid w:val="00222510"/>
    <w:rsid w:val="00260E3B"/>
    <w:rsid w:val="002672BE"/>
    <w:rsid w:val="00271BFD"/>
    <w:rsid w:val="002916D1"/>
    <w:rsid w:val="002948F9"/>
    <w:rsid w:val="002A7E67"/>
    <w:rsid w:val="002C1E3A"/>
    <w:rsid w:val="002C6017"/>
    <w:rsid w:val="002E0058"/>
    <w:rsid w:val="002F5E7D"/>
    <w:rsid w:val="00306698"/>
    <w:rsid w:val="00316276"/>
    <w:rsid w:val="0034120B"/>
    <w:rsid w:val="00344929"/>
    <w:rsid w:val="00346E91"/>
    <w:rsid w:val="00364E5F"/>
    <w:rsid w:val="003674CD"/>
    <w:rsid w:val="003821CC"/>
    <w:rsid w:val="00386F73"/>
    <w:rsid w:val="003A4603"/>
    <w:rsid w:val="003A47CA"/>
    <w:rsid w:val="003A7C3D"/>
    <w:rsid w:val="003B63DF"/>
    <w:rsid w:val="003B76F1"/>
    <w:rsid w:val="003C07E1"/>
    <w:rsid w:val="003D0D0D"/>
    <w:rsid w:val="003D508C"/>
    <w:rsid w:val="003D772F"/>
    <w:rsid w:val="003E00E3"/>
    <w:rsid w:val="003E34F7"/>
    <w:rsid w:val="003E563D"/>
    <w:rsid w:val="004076A8"/>
    <w:rsid w:val="00422AE4"/>
    <w:rsid w:val="004408C5"/>
    <w:rsid w:val="004465C6"/>
    <w:rsid w:val="00451B57"/>
    <w:rsid w:val="004844C1"/>
    <w:rsid w:val="00490A98"/>
    <w:rsid w:val="004C10A7"/>
    <w:rsid w:val="004C6C80"/>
    <w:rsid w:val="004F7E03"/>
    <w:rsid w:val="00514DE0"/>
    <w:rsid w:val="00522A85"/>
    <w:rsid w:val="00525326"/>
    <w:rsid w:val="00530FE4"/>
    <w:rsid w:val="0054532C"/>
    <w:rsid w:val="00550698"/>
    <w:rsid w:val="00550C98"/>
    <w:rsid w:val="00585C4C"/>
    <w:rsid w:val="00591571"/>
    <w:rsid w:val="005A5C8D"/>
    <w:rsid w:val="005D1D36"/>
    <w:rsid w:val="005E480B"/>
    <w:rsid w:val="006031E9"/>
    <w:rsid w:val="00607829"/>
    <w:rsid w:val="00610FEF"/>
    <w:rsid w:val="00634114"/>
    <w:rsid w:val="0063425F"/>
    <w:rsid w:val="00635A02"/>
    <w:rsid w:val="00637BF0"/>
    <w:rsid w:val="006439DA"/>
    <w:rsid w:val="006520EA"/>
    <w:rsid w:val="006614EE"/>
    <w:rsid w:val="00665FB6"/>
    <w:rsid w:val="00675FF3"/>
    <w:rsid w:val="006877AD"/>
    <w:rsid w:val="00692AB6"/>
    <w:rsid w:val="006A368E"/>
    <w:rsid w:val="006C1C7F"/>
    <w:rsid w:val="006E23A6"/>
    <w:rsid w:val="006E36E3"/>
    <w:rsid w:val="006F6F27"/>
    <w:rsid w:val="00715E2B"/>
    <w:rsid w:val="007263B0"/>
    <w:rsid w:val="00734AD1"/>
    <w:rsid w:val="00735100"/>
    <w:rsid w:val="00746898"/>
    <w:rsid w:val="0075024F"/>
    <w:rsid w:val="0075545D"/>
    <w:rsid w:val="00775050"/>
    <w:rsid w:val="00796512"/>
    <w:rsid w:val="007A2040"/>
    <w:rsid w:val="007A4BFE"/>
    <w:rsid w:val="007B6D99"/>
    <w:rsid w:val="007C0192"/>
    <w:rsid w:val="007C6F1A"/>
    <w:rsid w:val="007F1210"/>
    <w:rsid w:val="007F50B1"/>
    <w:rsid w:val="00801C3B"/>
    <w:rsid w:val="00802323"/>
    <w:rsid w:val="00813E93"/>
    <w:rsid w:val="00822ED1"/>
    <w:rsid w:val="00843D92"/>
    <w:rsid w:val="008679B6"/>
    <w:rsid w:val="00881FC0"/>
    <w:rsid w:val="0088236F"/>
    <w:rsid w:val="00887FA6"/>
    <w:rsid w:val="0089724C"/>
    <w:rsid w:val="008E28D1"/>
    <w:rsid w:val="008E3780"/>
    <w:rsid w:val="009015F6"/>
    <w:rsid w:val="00907AF5"/>
    <w:rsid w:val="009104DD"/>
    <w:rsid w:val="00924EDA"/>
    <w:rsid w:val="00941A06"/>
    <w:rsid w:val="009725AF"/>
    <w:rsid w:val="009745F8"/>
    <w:rsid w:val="0097622D"/>
    <w:rsid w:val="00985345"/>
    <w:rsid w:val="00985C85"/>
    <w:rsid w:val="009B47AA"/>
    <w:rsid w:val="009B6B8C"/>
    <w:rsid w:val="009C41E8"/>
    <w:rsid w:val="009C534C"/>
    <w:rsid w:val="009E2DF3"/>
    <w:rsid w:val="009E32E7"/>
    <w:rsid w:val="009F546C"/>
    <w:rsid w:val="00A11B8A"/>
    <w:rsid w:val="00A134E4"/>
    <w:rsid w:val="00A21C33"/>
    <w:rsid w:val="00A249DC"/>
    <w:rsid w:val="00A35293"/>
    <w:rsid w:val="00A355A7"/>
    <w:rsid w:val="00A5191F"/>
    <w:rsid w:val="00A548CA"/>
    <w:rsid w:val="00A7418E"/>
    <w:rsid w:val="00A85C90"/>
    <w:rsid w:val="00A97712"/>
    <w:rsid w:val="00AD62F9"/>
    <w:rsid w:val="00AE1E3D"/>
    <w:rsid w:val="00AE65FA"/>
    <w:rsid w:val="00AF5BEB"/>
    <w:rsid w:val="00B01B35"/>
    <w:rsid w:val="00B414BA"/>
    <w:rsid w:val="00B423AF"/>
    <w:rsid w:val="00B55AA0"/>
    <w:rsid w:val="00B653FE"/>
    <w:rsid w:val="00B75739"/>
    <w:rsid w:val="00B82193"/>
    <w:rsid w:val="00BB17D0"/>
    <w:rsid w:val="00BB39BE"/>
    <w:rsid w:val="00BE242E"/>
    <w:rsid w:val="00BE2DBB"/>
    <w:rsid w:val="00C05F45"/>
    <w:rsid w:val="00C06B5D"/>
    <w:rsid w:val="00C1050C"/>
    <w:rsid w:val="00C25F86"/>
    <w:rsid w:val="00C3684C"/>
    <w:rsid w:val="00C56529"/>
    <w:rsid w:val="00C63C4E"/>
    <w:rsid w:val="00C71D60"/>
    <w:rsid w:val="00C90F60"/>
    <w:rsid w:val="00C938DA"/>
    <w:rsid w:val="00CA0B82"/>
    <w:rsid w:val="00CA7D08"/>
    <w:rsid w:val="00CC3155"/>
    <w:rsid w:val="00CD155B"/>
    <w:rsid w:val="00D06BC7"/>
    <w:rsid w:val="00D2685E"/>
    <w:rsid w:val="00D26FAE"/>
    <w:rsid w:val="00D375A7"/>
    <w:rsid w:val="00D40CF5"/>
    <w:rsid w:val="00D50654"/>
    <w:rsid w:val="00D76A21"/>
    <w:rsid w:val="00D942DB"/>
    <w:rsid w:val="00DA171E"/>
    <w:rsid w:val="00DA2028"/>
    <w:rsid w:val="00DA7C98"/>
    <w:rsid w:val="00DB059E"/>
    <w:rsid w:val="00DB52B5"/>
    <w:rsid w:val="00DB58B8"/>
    <w:rsid w:val="00DC3005"/>
    <w:rsid w:val="00DC6AD4"/>
    <w:rsid w:val="00DD2009"/>
    <w:rsid w:val="00DD7363"/>
    <w:rsid w:val="00DE1411"/>
    <w:rsid w:val="00DE1826"/>
    <w:rsid w:val="00DF1B11"/>
    <w:rsid w:val="00E0209C"/>
    <w:rsid w:val="00E23EB6"/>
    <w:rsid w:val="00E33CAD"/>
    <w:rsid w:val="00E421CE"/>
    <w:rsid w:val="00E428F6"/>
    <w:rsid w:val="00E4587E"/>
    <w:rsid w:val="00E52F2C"/>
    <w:rsid w:val="00E55515"/>
    <w:rsid w:val="00E64F96"/>
    <w:rsid w:val="00E7102C"/>
    <w:rsid w:val="00EB32B9"/>
    <w:rsid w:val="00EC56A4"/>
    <w:rsid w:val="00ED2CF3"/>
    <w:rsid w:val="00ED5D48"/>
    <w:rsid w:val="00EF2EB7"/>
    <w:rsid w:val="00F07260"/>
    <w:rsid w:val="00F3239F"/>
    <w:rsid w:val="00F42BB4"/>
    <w:rsid w:val="00F50B67"/>
    <w:rsid w:val="00F539E3"/>
    <w:rsid w:val="00FB1CBF"/>
    <w:rsid w:val="00FB493B"/>
    <w:rsid w:val="00FB69DC"/>
    <w:rsid w:val="00FD0347"/>
    <w:rsid w:val="00FD7713"/>
    <w:rsid w:val="00FF6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6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basedOn w:val="a1"/>
    <w:uiPriority w:val="40"/>
    <w:rsid w:val="00AE65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
    <w:name w:val="Таблица простая 31"/>
    <w:basedOn w:val="a1"/>
    <w:uiPriority w:val="43"/>
    <w:rsid w:val="00AE65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a4">
    <w:name w:val="Hyperlink"/>
    <w:basedOn w:val="a0"/>
    <w:uiPriority w:val="99"/>
    <w:unhideWhenUsed/>
    <w:rsid w:val="00941A06"/>
    <w:rPr>
      <w:color w:val="0563C1" w:themeColor="hyperlink"/>
      <w:u w:val="single"/>
    </w:rPr>
  </w:style>
  <w:style w:type="paragraph" w:styleId="a5">
    <w:name w:val="footnote text"/>
    <w:basedOn w:val="a"/>
    <w:link w:val="a6"/>
    <w:uiPriority w:val="99"/>
    <w:semiHidden/>
    <w:unhideWhenUsed/>
    <w:rsid w:val="00DE1826"/>
    <w:pPr>
      <w:spacing w:after="0" w:line="240" w:lineRule="auto"/>
    </w:pPr>
    <w:rPr>
      <w:sz w:val="20"/>
      <w:szCs w:val="20"/>
    </w:rPr>
  </w:style>
  <w:style w:type="character" w:customStyle="1" w:styleId="a6">
    <w:name w:val="Текст сноски Знак"/>
    <w:basedOn w:val="a0"/>
    <w:link w:val="a5"/>
    <w:uiPriority w:val="99"/>
    <w:semiHidden/>
    <w:rsid w:val="00DE1826"/>
    <w:rPr>
      <w:sz w:val="20"/>
      <w:szCs w:val="20"/>
    </w:rPr>
  </w:style>
  <w:style w:type="character" w:styleId="a7">
    <w:name w:val="footnote reference"/>
    <w:basedOn w:val="a0"/>
    <w:uiPriority w:val="99"/>
    <w:semiHidden/>
    <w:unhideWhenUsed/>
    <w:rsid w:val="00DE1826"/>
    <w:rPr>
      <w:vertAlign w:val="superscript"/>
    </w:rPr>
  </w:style>
  <w:style w:type="paragraph" w:styleId="a8">
    <w:name w:val="List Paragraph"/>
    <w:basedOn w:val="a"/>
    <w:uiPriority w:val="34"/>
    <w:qFormat/>
    <w:rsid w:val="000E6196"/>
    <w:pPr>
      <w:ind w:left="720"/>
      <w:contextualSpacing/>
    </w:pPr>
  </w:style>
  <w:style w:type="paragraph" w:customStyle="1" w:styleId="Default">
    <w:name w:val="Default"/>
    <w:rsid w:val="00ED5D48"/>
    <w:pPr>
      <w:autoSpaceDE w:val="0"/>
      <w:autoSpaceDN w:val="0"/>
      <w:adjustRightInd w:val="0"/>
      <w:spacing w:after="0" w:line="240" w:lineRule="auto"/>
    </w:pPr>
    <w:rPr>
      <w:rFonts w:ascii="Arial" w:hAnsi="Arial" w:cs="Arial"/>
      <w:color w:val="000000"/>
      <w:sz w:val="24"/>
      <w:szCs w:val="24"/>
    </w:rPr>
  </w:style>
  <w:style w:type="paragraph" w:styleId="a9">
    <w:name w:val="header"/>
    <w:basedOn w:val="a"/>
    <w:link w:val="aa"/>
    <w:uiPriority w:val="99"/>
    <w:unhideWhenUsed/>
    <w:rsid w:val="00B423A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423AF"/>
  </w:style>
  <w:style w:type="paragraph" w:styleId="ab">
    <w:name w:val="footer"/>
    <w:basedOn w:val="a"/>
    <w:link w:val="ac"/>
    <w:uiPriority w:val="99"/>
    <w:unhideWhenUsed/>
    <w:rsid w:val="00B423A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23AF"/>
  </w:style>
  <w:style w:type="paragraph" w:styleId="ad">
    <w:name w:val="Balloon Text"/>
    <w:basedOn w:val="a"/>
    <w:link w:val="ae"/>
    <w:uiPriority w:val="99"/>
    <w:semiHidden/>
    <w:unhideWhenUsed/>
    <w:rsid w:val="00003A2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03A20"/>
    <w:rPr>
      <w:rFonts w:ascii="Segoe UI" w:hAnsi="Segoe UI" w:cs="Segoe UI"/>
      <w:sz w:val="18"/>
      <w:szCs w:val="18"/>
    </w:rPr>
  </w:style>
  <w:style w:type="character" w:styleId="af">
    <w:name w:val="annotation reference"/>
    <w:basedOn w:val="a0"/>
    <w:uiPriority w:val="99"/>
    <w:semiHidden/>
    <w:unhideWhenUsed/>
    <w:rsid w:val="00A5191F"/>
    <w:rPr>
      <w:sz w:val="16"/>
      <w:szCs w:val="16"/>
    </w:rPr>
  </w:style>
  <w:style w:type="paragraph" w:styleId="af0">
    <w:name w:val="annotation text"/>
    <w:basedOn w:val="a"/>
    <w:link w:val="af1"/>
    <w:uiPriority w:val="99"/>
    <w:semiHidden/>
    <w:unhideWhenUsed/>
    <w:rsid w:val="00A5191F"/>
    <w:pPr>
      <w:spacing w:line="240" w:lineRule="auto"/>
    </w:pPr>
    <w:rPr>
      <w:sz w:val="20"/>
      <w:szCs w:val="20"/>
    </w:rPr>
  </w:style>
  <w:style w:type="character" w:customStyle="1" w:styleId="af1">
    <w:name w:val="Текст примечания Знак"/>
    <w:basedOn w:val="a0"/>
    <w:link w:val="af0"/>
    <w:uiPriority w:val="99"/>
    <w:semiHidden/>
    <w:rsid w:val="00A5191F"/>
    <w:rPr>
      <w:sz w:val="20"/>
      <w:szCs w:val="20"/>
    </w:rPr>
  </w:style>
  <w:style w:type="paragraph" w:styleId="af2">
    <w:name w:val="annotation subject"/>
    <w:basedOn w:val="af0"/>
    <w:next w:val="af0"/>
    <w:link w:val="af3"/>
    <w:uiPriority w:val="99"/>
    <w:semiHidden/>
    <w:unhideWhenUsed/>
    <w:rsid w:val="00A5191F"/>
    <w:rPr>
      <w:b/>
      <w:bCs/>
    </w:rPr>
  </w:style>
  <w:style w:type="character" w:customStyle="1" w:styleId="af3">
    <w:name w:val="Тема примечания Знак"/>
    <w:basedOn w:val="af1"/>
    <w:link w:val="af2"/>
    <w:uiPriority w:val="99"/>
    <w:semiHidden/>
    <w:rsid w:val="00A5191F"/>
    <w:rPr>
      <w:b/>
      <w:bCs/>
      <w:sz w:val="20"/>
      <w:szCs w:val="20"/>
    </w:rPr>
  </w:style>
  <w:style w:type="character" w:styleId="af4">
    <w:name w:val="Strong"/>
    <w:basedOn w:val="a0"/>
    <w:uiPriority w:val="22"/>
    <w:qFormat/>
    <w:rsid w:val="009015F6"/>
    <w:rPr>
      <w:rFonts w:ascii="OpenSans-Bold" w:hAnsi="OpenSans-Bold" w:hint="default"/>
      <w:b w:val="0"/>
      <w:bCs w:val="0"/>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6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basedOn w:val="a1"/>
    <w:uiPriority w:val="40"/>
    <w:rsid w:val="00AE65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
    <w:name w:val="Таблица простая 31"/>
    <w:basedOn w:val="a1"/>
    <w:uiPriority w:val="43"/>
    <w:rsid w:val="00AE65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a4">
    <w:name w:val="Hyperlink"/>
    <w:basedOn w:val="a0"/>
    <w:uiPriority w:val="99"/>
    <w:unhideWhenUsed/>
    <w:rsid w:val="00941A06"/>
    <w:rPr>
      <w:color w:val="0563C1" w:themeColor="hyperlink"/>
      <w:u w:val="single"/>
    </w:rPr>
  </w:style>
  <w:style w:type="paragraph" w:styleId="a5">
    <w:name w:val="footnote text"/>
    <w:basedOn w:val="a"/>
    <w:link w:val="a6"/>
    <w:uiPriority w:val="99"/>
    <w:semiHidden/>
    <w:unhideWhenUsed/>
    <w:rsid w:val="00DE1826"/>
    <w:pPr>
      <w:spacing w:after="0" w:line="240" w:lineRule="auto"/>
    </w:pPr>
    <w:rPr>
      <w:sz w:val="20"/>
      <w:szCs w:val="20"/>
    </w:rPr>
  </w:style>
  <w:style w:type="character" w:customStyle="1" w:styleId="a6">
    <w:name w:val="Текст сноски Знак"/>
    <w:basedOn w:val="a0"/>
    <w:link w:val="a5"/>
    <w:uiPriority w:val="99"/>
    <w:semiHidden/>
    <w:rsid w:val="00DE1826"/>
    <w:rPr>
      <w:sz w:val="20"/>
      <w:szCs w:val="20"/>
    </w:rPr>
  </w:style>
  <w:style w:type="character" w:styleId="a7">
    <w:name w:val="footnote reference"/>
    <w:basedOn w:val="a0"/>
    <w:uiPriority w:val="99"/>
    <w:semiHidden/>
    <w:unhideWhenUsed/>
    <w:rsid w:val="00DE1826"/>
    <w:rPr>
      <w:vertAlign w:val="superscript"/>
    </w:rPr>
  </w:style>
  <w:style w:type="paragraph" w:styleId="a8">
    <w:name w:val="List Paragraph"/>
    <w:basedOn w:val="a"/>
    <w:uiPriority w:val="34"/>
    <w:qFormat/>
    <w:rsid w:val="000E6196"/>
    <w:pPr>
      <w:ind w:left="720"/>
      <w:contextualSpacing/>
    </w:pPr>
  </w:style>
  <w:style w:type="paragraph" w:customStyle="1" w:styleId="Default">
    <w:name w:val="Default"/>
    <w:rsid w:val="00ED5D48"/>
    <w:pPr>
      <w:autoSpaceDE w:val="0"/>
      <w:autoSpaceDN w:val="0"/>
      <w:adjustRightInd w:val="0"/>
      <w:spacing w:after="0" w:line="240" w:lineRule="auto"/>
    </w:pPr>
    <w:rPr>
      <w:rFonts w:ascii="Arial" w:hAnsi="Arial" w:cs="Arial"/>
      <w:color w:val="000000"/>
      <w:sz w:val="24"/>
      <w:szCs w:val="24"/>
    </w:rPr>
  </w:style>
  <w:style w:type="paragraph" w:styleId="a9">
    <w:name w:val="header"/>
    <w:basedOn w:val="a"/>
    <w:link w:val="aa"/>
    <w:uiPriority w:val="99"/>
    <w:unhideWhenUsed/>
    <w:rsid w:val="00B423A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423AF"/>
  </w:style>
  <w:style w:type="paragraph" w:styleId="ab">
    <w:name w:val="footer"/>
    <w:basedOn w:val="a"/>
    <w:link w:val="ac"/>
    <w:uiPriority w:val="99"/>
    <w:unhideWhenUsed/>
    <w:rsid w:val="00B423A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23AF"/>
  </w:style>
  <w:style w:type="paragraph" w:styleId="ad">
    <w:name w:val="Balloon Text"/>
    <w:basedOn w:val="a"/>
    <w:link w:val="ae"/>
    <w:uiPriority w:val="99"/>
    <w:semiHidden/>
    <w:unhideWhenUsed/>
    <w:rsid w:val="00003A2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03A20"/>
    <w:rPr>
      <w:rFonts w:ascii="Segoe UI" w:hAnsi="Segoe UI" w:cs="Segoe UI"/>
      <w:sz w:val="18"/>
      <w:szCs w:val="18"/>
    </w:rPr>
  </w:style>
  <w:style w:type="character" w:styleId="af">
    <w:name w:val="annotation reference"/>
    <w:basedOn w:val="a0"/>
    <w:uiPriority w:val="99"/>
    <w:semiHidden/>
    <w:unhideWhenUsed/>
    <w:rsid w:val="00A5191F"/>
    <w:rPr>
      <w:sz w:val="16"/>
      <w:szCs w:val="16"/>
    </w:rPr>
  </w:style>
  <w:style w:type="paragraph" w:styleId="af0">
    <w:name w:val="annotation text"/>
    <w:basedOn w:val="a"/>
    <w:link w:val="af1"/>
    <w:uiPriority w:val="99"/>
    <w:semiHidden/>
    <w:unhideWhenUsed/>
    <w:rsid w:val="00A5191F"/>
    <w:pPr>
      <w:spacing w:line="240" w:lineRule="auto"/>
    </w:pPr>
    <w:rPr>
      <w:sz w:val="20"/>
      <w:szCs w:val="20"/>
    </w:rPr>
  </w:style>
  <w:style w:type="character" w:customStyle="1" w:styleId="af1">
    <w:name w:val="Текст примечания Знак"/>
    <w:basedOn w:val="a0"/>
    <w:link w:val="af0"/>
    <w:uiPriority w:val="99"/>
    <w:semiHidden/>
    <w:rsid w:val="00A5191F"/>
    <w:rPr>
      <w:sz w:val="20"/>
      <w:szCs w:val="20"/>
    </w:rPr>
  </w:style>
  <w:style w:type="paragraph" w:styleId="af2">
    <w:name w:val="annotation subject"/>
    <w:basedOn w:val="af0"/>
    <w:next w:val="af0"/>
    <w:link w:val="af3"/>
    <w:uiPriority w:val="99"/>
    <w:semiHidden/>
    <w:unhideWhenUsed/>
    <w:rsid w:val="00A5191F"/>
    <w:rPr>
      <w:b/>
      <w:bCs/>
    </w:rPr>
  </w:style>
  <w:style w:type="character" w:customStyle="1" w:styleId="af3">
    <w:name w:val="Тема примечания Знак"/>
    <w:basedOn w:val="af1"/>
    <w:link w:val="af2"/>
    <w:uiPriority w:val="99"/>
    <w:semiHidden/>
    <w:rsid w:val="00A5191F"/>
    <w:rPr>
      <w:b/>
      <w:bCs/>
      <w:sz w:val="20"/>
      <w:szCs w:val="20"/>
    </w:rPr>
  </w:style>
  <w:style w:type="character" w:styleId="af4">
    <w:name w:val="Strong"/>
    <w:basedOn w:val="a0"/>
    <w:uiPriority w:val="22"/>
    <w:qFormat/>
    <w:rsid w:val="009015F6"/>
    <w:rPr>
      <w:rFonts w:ascii="OpenSans-Bold" w:hAnsi="OpenSans-Bold" w:hint="default"/>
      <w:b w:val="0"/>
      <w:bCs w:val="0"/>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12076">
      <w:bodyDiv w:val="1"/>
      <w:marLeft w:val="0"/>
      <w:marRight w:val="0"/>
      <w:marTop w:val="0"/>
      <w:marBottom w:val="0"/>
      <w:divBdr>
        <w:top w:val="none" w:sz="0" w:space="0" w:color="auto"/>
        <w:left w:val="none" w:sz="0" w:space="0" w:color="auto"/>
        <w:bottom w:val="none" w:sz="0" w:space="0" w:color="auto"/>
        <w:right w:val="none" w:sz="0" w:space="0" w:color="auto"/>
      </w:divBdr>
    </w:div>
    <w:div w:id="180945924">
      <w:bodyDiv w:val="1"/>
      <w:marLeft w:val="0"/>
      <w:marRight w:val="0"/>
      <w:marTop w:val="0"/>
      <w:marBottom w:val="0"/>
      <w:divBdr>
        <w:top w:val="none" w:sz="0" w:space="0" w:color="auto"/>
        <w:left w:val="none" w:sz="0" w:space="0" w:color="auto"/>
        <w:bottom w:val="none" w:sz="0" w:space="0" w:color="auto"/>
        <w:right w:val="none" w:sz="0" w:space="0" w:color="auto"/>
      </w:divBdr>
      <w:divsChild>
        <w:div w:id="646979193">
          <w:marLeft w:val="446"/>
          <w:marRight w:val="0"/>
          <w:marTop w:val="111"/>
          <w:marBottom w:val="111"/>
          <w:divBdr>
            <w:top w:val="none" w:sz="0" w:space="0" w:color="auto"/>
            <w:left w:val="none" w:sz="0" w:space="0" w:color="auto"/>
            <w:bottom w:val="none" w:sz="0" w:space="0" w:color="auto"/>
            <w:right w:val="none" w:sz="0" w:space="0" w:color="auto"/>
          </w:divBdr>
        </w:div>
      </w:divsChild>
    </w:div>
    <w:div w:id="191496259">
      <w:bodyDiv w:val="1"/>
      <w:marLeft w:val="0"/>
      <w:marRight w:val="0"/>
      <w:marTop w:val="0"/>
      <w:marBottom w:val="0"/>
      <w:divBdr>
        <w:top w:val="none" w:sz="0" w:space="0" w:color="auto"/>
        <w:left w:val="none" w:sz="0" w:space="0" w:color="auto"/>
        <w:bottom w:val="none" w:sz="0" w:space="0" w:color="auto"/>
        <w:right w:val="none" w:sz="0" w:space="0" w:color="auto"/>
      </w:divBdr>
    </w:div>
    <w:div w:id="304240463">
      <w:bodyDiv w:val="1"/>
      <w:marLeft w:val="0"/>
      <w:marRight w:val="0"/>
      <w:marTop w:val="0"/>
      <w:marBottom w:val="0"/>
      <w:divBdr>
        <w:top w:val="none" w:sz="0" w:space="0" w:color="auto"/>
        <w:left w:val="none" w:sz="0" w:space="0" w:color="auto"/>
        <w:bottom w:val="none" w:sz="0" w:space="0" w:color="auto"/>
        <w:right w:val="none" w:sz="0" w:space="0" w:color="auto"/>
      </w:divBdr>
    </w:div>
    <w:div w:id="432745121">
      <w:bodyDiv w:val="1"/>
      <w:marLeft w:val="0"/>
      <w:marRight w:val="0"/>
      <w:marTop w:val="0"/>
      <w:marBottom w:val="0"/>
      <w:divBdr>
        <w:top w:val="none" w:sz="0" w:space="0" w:color="auto"/>
        <w:left w:val="none" w:sz="0" w:space="0" w:color="auto"/>
        <w:bottom w:val="none" w:sz="0" w:space="0" w:color="auto"/>
        <w:right w:val="none" w:sz="0" w:space="0" w:color="auto"/>
      </w:divBdr>
    </w:div>
    <w:div w:id="436104342">
      <w:bodyDiv w:val="1"/>
      <w:marLeft w:val="0"/>
      <w:marRight w:val="0"/>
      <w:marTop w:val="0"/>
      <w:marBottom w:val="0"/>
      <w:divBdr>
        <w:top w:val="none" w:sz="0" w:space="0" w:color="auto"/>
        <w:left w:val="none" w:sz="0" w:space="0" w:color="auto"/>
        <w:bottom w:val="none" w:sz="0" w:space="0" w:color="auto"/>
        <w:right w:val="none" w:sz="0" w:space="0" w:color="auto"/>
      </w:divBdr>
    </w:div>
    <w:div w:id="609436806">
      <w:bodyDiv w:val="1"/>
      <w:marLeft w:val="0"/>
      <w:marRight w:val="0"/>
      <w:marTop w:val="0"/>
      <w:marBottom w:val="0"/>
      <w:divBdr>
        <w:top w:val="none" w:sz="0" w:space="0" w:color="auto"/>
        <w:left w:val="none" w:sz="0" w:space="0" w:color="auto"/>
        <w:bottom w:val="none" w:sz="0" w:space="0" w:color="auto"/>
        <w:right w:val="none" w:sz="0" w:space="0" w:color="auto"/>
      </w:divBdr>
    </w:div>
    <w:div w:id="751776597">
      <w:bodyDiv w:val="1"/>
      <w:marLeft w:val="0"/>
      <w:marRight w:val="0"/>
      <w:marTop w:val="0"/>
      <w:marBottom w:val="0"/>
      <w:divBdr>
        <w:top w:val="none" w:sz="0" w:space="0" w:color="auto"/>
        <w:left w:val="none" w:sz="0" w:space="0" w:color="auto"/>
        <w:bottom w:val="none" w:sz="0" w:space="0" w:color="auto"/>
        <w:right w:val="none" w:sz="0" w:space="0" w:color="auto"/>
      </w:divBdr>
    </w:div>
    <w:div w:id="969287447">
      <w:bodyDiv w:val="1"/>
      <w:marLeft w:val="0"/>
      <w:marRight w:val="0"/>
      <w:marTop w:val="0"/>
      <w:marBottom w:val="0"/>
      <w:divBdr>
        <w:top w:val="none" w:sz="0" w:space="0" w:color="auto"/>
        <w:left w:val="none" w:sz="0" w:space="0" w:color="auto"/>
        <w:bottom w:val="none" w:sz="0" w:space="0" w:color="auto"/>
        <w:right w:val="none" w:sz="0" w:space="0" w:color="auto"/>
      </w:divBdr>
      <w:divsChild>
        <w:div w:id="765155522">
          <w:marLeft w:val="274"/>
          <w:marRight w:val="0"/>
          <w:marTop w:val="20"/>
          <w:marBottom w:val="20"/>
          <w:divBdr>
            <w:top w:val="none" w:sz="0" w:space="0" w:color="auto"/>
            <w:left w:val="none" w:sz="0" w:space="0" w:color="auto"/>
            <w:bottom w:val="none" w:sz="0" w:space="0" w:color="auto"/>
            <w:right w:val="none" w:sz="0" w:space="0" w:color="auto"/>
          </w:divBdr>
        </w:div>
      </w:divsChild>
    </w:div>
    <w:div w:id="1525514003">
      <w:bodyDiv w:val="1"/>
      <w:marLeft w:val="0"/>
      <w:marRight w:val="0"/>
      <w:marTop w:val="0"/>
      <w:marBottom w:val="0"/>
      <w:divBdr>
        <w:top w:val="none" w:sz="0" w:space="0" w:color="auto"/>
        <w:left w:val="none" w:sz="0" w:space="0" w:color="auto"/>
        <w:bottom w:val="none" w:sz="0" w:space="0" w:color="auto"/>
        <w:right w:val="none" w:sz="0" w:space="0" w:color="auto"/>
      </w:divBdr>
    </w:div>
    <w:div w:id="1644192045">
      <w:bodyDiv w:val="1"/>
      <w:marLeft w:val="0"/>
      <w:marRight w:val="0"/>
      <w:marTop w:val="0"/>
      <w:marBottom w:val="0"/>
      <w:divBdr>
        <w:top w:val="none" w:sz="0" w:space="0" w:color="auto"/>
        <w:left w:val="none" w:sz="0" w:space="0" w:color="auto"/>
        <w:bottom w:val="none" w:sz="0" w:space="0" w:color="auto"/>
        <w:right w:val="none" w:sz="0" w:space="0" w:color="auto"/>
      </w:divBdr>
    </w:div>
    <w:div w:id="1744375298">
      <w:bodyDiv w:val="1"/>
      <w:marLeft w:val="0"/>
      <w:marRight w:val="0"/>
      <w:marTop w:val="0"/>
      <w:marBottom w:val="0"/>
      <w:divBdr>
        <w:top w:val="none" w:sz="0" w:space="0" w:color="auto"/>
        <w:left w:val="none" w:sz="0" w:space="0" w:color="auto"/>
        <w:bottom w:val="none" w:sz="0" w:space="0" w:color="auto"/>
        <w:right w:val="none" w:sz="0" w:space="0" w:color="auto"/>
      </w:divBdr>
    </w:div>
    <w:div w:id="205091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r@russnef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russneft.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ussneft.ru/shareholders/financial_statement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5453C-12DC-40F1-9BAC-9D2C7288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688</Words>
  <Characters>3928</Characters>
  <Application>Microsoft Office Word</Application>
  <DocSecurity>4</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Ретивова Анна Валерьевна</dc:creator>
  <cp:lastModifiedBy>Татевосова Мария Рудольфовна</cp:lastModifiedBy>
  <cp:revision>2</cp:revision>
  <cp:lastPrinted>2018-03-29T06:09:00Z</cp:lastPrinted>
  <dcterms:created xsi:type="dcterms:W3CDTF">2018-03-29T09:27:00Z</dcterms:created>
  <dcterms:modified xsi:type="dcterms:W3CDTF">2018-03-29T09:27:00Z</dcterms:modified>
</cp:coreProperties>
</file>