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19" w:rsidRDefault="004C6224" w:rsidP="00276319">
      <w:pPr>
        <w:pStyle w:val="1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AEC025" wp14:editId="1B0DFF5F">
            <wp:simplePos x="0" y="0"/>
            <wp:positionH relativeFrom="column">
              <wp:posOffset>1981200</wp:posOffset>
            </wp:positionH>
            <wp:positionV relativeFrom="paragraph">
              <wp:posOffset>38100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RussNeft press service</w:t>
      </w: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lang w:val="en-US"/>
        </w:rPr>
      </w:pPr>
    </w:p>
    <w:p w:rsidR="004C6224" w:rsidRPr="00C17900" w:rsidRDefault="004C6224" w:rsidP="004C6224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6224" w:rsidRPr="00C17900" w:rsidTr="00B71A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Tel.: (495) 411-63-24; (495) 411-63-21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Fax: (495) 411-63-19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E-mail: </w:t>
            </w:r>
            <w:hyperlink r:id="rId6" w:history="1">
              <w:r w:rsidRPr="00D933BE">
                <w:rPr>
                  <w:rFonts w:ascii="Arial" w:eastAsia="Calibri" w:hAnsi="Arial" w:cs="Arial"/>
                  <w:b/>
                  <w:color w:val="0000FF"/>
                  <w:u w:val="single"/>
                  <w:lang w:val="en-US"/>
                </w:rPr>
                <w:t>pr@russneft.ru</w:t>
              </w:r>
            </w:hyperlink>
          </w:p>
          <w:p w:rsidR="004C6224" w:rsidRPr="00D933BE" w:rsidRDefault="00377002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hyperlink r:id="rId7" w:history="1">
              <w:r w:rsidR="004C6224" w:rsidRPr="00D933BE">
                <w:rPr>
                  <w:rStyle w:val="a3"/>
                  <w:rFonts w:ascii="Arial" w:eastAsia="Calibri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115054, Moscow,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D933BE">
              <w:rPr>
                <w:rFonts w:ascii="Arial" w:eastAsia="Calibri" w:hAnsi="Arial" w:cs="Arial"/>
                <w:b/>
                <w:lang w:val="en-US"/>
              </w:rPr>
              <w:t>Pyatnitskaya</w:t>
            </w:r>
            <w:proofErr w:type="spellEnd"/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 str., 69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4C6224" w:rsidRPr="00D933BE" w:rsidRDefault="004C6224" w:rsidP="004C6224">
      <w:pPr>
        <w:snapToGrid w:val="0"/>
        <w:spacing w:before="100" w:after="100"/>
        <w:jc w:val="center"/>
        <w:rPr>
          <w:rFonts w:ascii="Arial" w:eastAsia="Calibri" w:hAnsi="Arial" w:cs="Arial"/>
          <w:b/>
          <w:lang w:val="en-US"/>
        </w:rPr>
      </w:pPr>
    </w:p>
    <w:p w:rsidR="00276319" w:rsidRPr="00A31DE9" w:rsidRDefault="00276319" w:rsidP="00276319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276319" w:rsidRPr="00F36AD8" w:rsidRDefault="00F36AD8" w:rsidP="00276319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</w:t>
      </w:r>
      <w:r w:rsidRPr="00F36AD8">
        <w:rPr>
          <w:rFonts w:ascii="Arial" w:hAnsi="Arial"/>
          <w:b/>
          <w:snapToGrid w:val="0"/>
          <w:sz w:val="28"/>
          <w:szCs w:val="28"/>
        </w:rPr>
        <w:t>-</w:t>
      </w:r>
      <w:r>
        <w:rPr>
          <w:rFonts w:ascii="Arial" w:hAnsi="Arial"/>
          <w:b/>
          <w:snapToGrid w:val="0"/>
          <w:sz w:val="28"/>
          <w:szCs w:val="28"/>
          <w:lang w:val="en-US"/>
        </w:rPr>
        <w:t>RELEASE</w:t>
      </w:r>
    </w:p>
    <w:p w:rsidR="00276319" w:rsidRDefault="00B71A74" w:rsidP="00276319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October</w:t>
      </w:r>
      <w:r w:rsidR="00F36AD8" w:rsidRPr="00F36AD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3</w:t>
      </w:r>
      <w:r w:rsidR="00F36AD8" w:rsidRPr="00F36AD8">
        <w:rPr>
          <w:rFonts w:ascii="Arial" w:hAnsi="Arial" w:cs="Arial"/>
          <w:b/>
          <w:color w:val="000000"/>
          <w:sz w:val="28"/>
          <w:szCs w:val="28"/>
        </w:rPr>
        <w:t>, 2016</w:t>
      </w:r>
    </w:p>
    <w:p w:rsidR="00B71A74" w:rsidRPr="00B71A74" w:rsidRDefault="00B71A74" w:rsidP="00276319">
      <w:pPr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  <w:lang w:val="en-US"/>
        </w:rPr>
      </w:pPr>
    </w:p>
    <w:p w:rsidR="00270590" w:rsidRPr="00225634" w:rsidRDefault="00B71A74" w:rsidP="00270590">
      <w:pPr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  <w:bookmarkStart w:id="1" w:name="OLE_LINK3"/>
      <w:bookmarkEnd w:id="1"/>
      <w:r>
        <w:rPr>
          <w:rFonts w:eastAsia="Calibri"/>
          <w:b/>
          <w:bCs/>
          <w:color w:val="000000"/>
          <w:sz w:val="32"/>
          <w:szCs w:val="32"/>
          <w:lang w:val="en-US"/>
        </w:rPr>
        <w:t>The hard-to-recover reserves share in RussNeft production structure will increase 10% in 5 years</w:t>
      </w:r>
    </w:p>
    <w:p w:rsidR="00270590" w:rsidRPr="00225634" w:rsidRDefault="00270590" w:rsidP="00270590">
      <w:pPr>
        <w:spacing w:line="360" w:lineRule="auto"/>
        <w:jc w:val="both"/>
        <w:rPr>
          <w:rFonts w:eastAsia="Calibri"/>
          <w:sz w:val="32"/>
          <w:szCs w:val="32"/>
          <w:lang w:val="en-US"/>
        </w:rPr>
      </w:pPr>
      <w:bookmarkStart w:id="2" w:name="OLE_LINK1"/>
      <w:bookmarkStart w:id="3" w:name="OLE_LINK2"/>
      <w:bookmarkEnd w:id="2"/>
      <w:bookmarkEnd w:id="3"/>
    </w:p>
    <w:p w:rsidR="00270590" w:rsidRDefault="004C602F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r>
        <w:rPr>
          <w:rFonts w:eastAsia="Calibri"/>
          <w:color w:val="000000"/>
          <w:sz w:val="32"/>
          <w:szCs w:val="32"/>
          <w:lang w:val="en-US" w:eastAsia="en-US"/>
        </w:rPr>
        <w:t>RussNeft intends to commence commercial development of around 50 million tons of hard-to-recover oil reserves within 5 years.</w:t>
      </w:r>
    </w:p>
    <w:p w:rsidR="004C602F" w:rsidRDefault="004C602F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r>
        <w:rPr>
          <w:rFonts w:eastAsia="Calibri"/>
          <w:color w:val="000000"/>
          <w:sz w:val="32"/>
          <w:szCs w:val="32"/>
          <w:lang w:val="en-US" w:eastAsia="en-US"/>
        </w:rPr>
        <w:t>The Company expects to produce about 20 million tons of oil considered hard-to-recover within 20 years.</w:t>
      </w:r>
    </w:p>
    <w:p w:rsidR="004674CD" w:rsidRDefault="004674CD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r>
        <w:rPr>
          <w:rFonts w:eastAsia="Calibri"/>
          <w:color w:val="000000"/>
          <w:sz w:val="32"/>
          <w:szCs w:val="32"/>
          <w:lang w:val="en-US" w:eastAsia="en-US"/>
        </w:rPr>
        <w:t xml:space="preserve">In 2017, RussNeft plans to start active drilling at </w:t>
      </w:r>
      <w:proofErr w:type="spellStart"/>
      <w:r>
        <w:rPr>
          <w:rFonts w:eastAsia="Calibri"/>
          <w:color w:val="000000"/>
          <w:sz w:val="32"/>
          <w:szCs w:val="32"/>
          <w:lang w:val="en-US" w:eastAsia="en-US"/>
        </w:rPr>
        <w:t>Sredne-Shapshinskoye</w:t>
      </w:r>
      <w:proofErr w:type="spellEnd"/>
      <w:r>
        <w:rPr>
          <w:rFonts w:eastAsia="Calibri"/>
          <w:color w:val="000000"/>
          <w:sz w:val="32"/>
          <w:szCs w:val="32"/>
          <w:lang w:val="en-US" w:eastAsia="en-US"/>
        </w:rPr>
        <w:t xml:space="preserve"> field which is the main resource base of the prospective hard-to-recover reserves.</w:t>
      </w:r>
    </w:p>
    <w:p w:rsidR="004674CD" w:rsidRDefault="004674CD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r>
        <w:rPr>
          <w:rFonts w:eastAsia="Calibri"/>
          <w:color w:val="000000"/>
          <w:sz w:val="32"/>
          <w:szCs w:val="32"/>
          <w:lang w:val="en-US" w:eastAsia="en-US"/>
        </w:rPr>
        <w:t>According to the Company’s estimates, the share of the hard-to-recover reserves in its production structure will increase 10% in a 5-year period.</w:t>
      </w:r>
    </w:p>
    <w:p w:rsidR="004674CD" w:rsidRDefault="004674CD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r>
        <w:rPr>
          <w:rFonts w:eastAsia="Calibri"/>
          <w:color w:val="000000"/>
          <w:sz w:val="32"/>
          <w:szCs w:val="32"/>
          <w:lang w:val="en-US" w:eastAsia="en-US"/>
        </w:rPr>
        <w:t xml:space="preserve">Development of hard-to-recover reserves will compensate for the reduction of the production rates in the traditional regions of operation of the Company’s subsidiaries. RussNeft has all competence and technologies required for </w:t>
      </w:r>
      <w:r w:rsidR="0072704D">
        <w:rPr>
          <w:rFonts w:eastAsia="Calibri"/>
          <w:color w:val="000000"/>
          <w:sz w:val="32"/>
          <w:szCs w:val="32"/>
          <w:lang w:val="en-US" w:eastAsia="en-US"/>
        </w:rPr>
        <w:t>commencement of hard-to-recover reserves active development</w:t>
      </w:r>
      <w:r>
        <w:rPr>
          <w:rFonts w:eastAsia="Calibri"/>
          <w:color w:val="000000"/>
          <w:sz w:val="32"/>
          <w:szCs w:val="32"/>
          <w:lang w:val="en-US" w:eastAsia="en-US"/>
        </w:rPr>
        <w:t>.</w:t>
      </w:r>
    </w:p>
    <w:p w:rsidR="0072704D" w:rsidRPr="0020255B" w:rsidRDefault="0072704D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proofErr w:type="spellStart"/>
      <w:r>
        <w:rPr>
          <w:rFonts w:eastAsia="Calibri"/>
          <w:color w:val="000000"/>
          <w:sz w:val="32"/>
          <w:szCs w:val="32"/>
          <w:lang w:val="en-US" w:eastAsia="en-US"/>
        </w:rPr>
        <w:lastRenderedPageBreak/>
        <w:t>Sredne-Shapshinskoye</w:t>
      </w:r>
      <w:proofErr w:type="spellEnd"/>
      <w:r>
        <w:rPr>
          <w:rFonts w:eastAsia="Calibri"/>
          <w:color w:val="000000"/>
          <w:sz w:val="32"/>
          <w:szCs w:val="32"/>
          <w:lang w:val="en-US" w:eastAsia="en-US"/>
        </w:rPr>
        <w:t xml:space="preserve"> field is located in Khanty-</w:t>
      </w:r>
      <w:proofErr w:type="spellStart"/>
      <w:r>
        <w:rPr>
          <w:rFonts w:eastAsia="Calibri"/>
          <w:color w:val="000000"/>
          <w:sz w:val="32"/>
          <w:szCs w:val="32"/>
          <w:lang w:val="en-US" w:eastAsia="en-US"/>
        </w:rPr>
        <w:t>Mansiysk</w:t>
      </w:r>
      <w:proofErr w:type="spellEnd"/>
      <w:r>
        <w:rPr>
          <w:rFonts w:eastAsia="Calibri"/>
          <w:color w:val="000000"/>
          <w:sz w:val="32"/>
          <w:szCs w:val="32"/>
          <w:lang w:val="en-US" w:eastAsia="en-US"/>
        </w:rPr>
        <w:t xml:space="preserve"> autonomous </w:t>
      </w:r>
      <w:r w:rsidR="00D039FA">
        <w:rPr>
          <w:rFonts w:eastAsia="Calibri"/>
          <w:color w:val="000000"/>
          <w:sz w:val="32"/>
          <w:szCs w:val="32"/>
          <w:lang w:val="en-US" w:eastAsia="en-US"/>
        </w:rPr>
        <w:t>district</w:t>
      </w:r>
      <w:r>
        <w:rPr>
          <w:rFonts w:eastAsia="Calibri"/>
          <w:color w:val="000000"/>
          <w:sz w:val="32"/>
          <w:szCs w:val="32"/>
          <w:lang w:val="en-US" w:eastAsia="en-US"/>
        </w:rPr>
        <w:t>.</w:t>
      </w:r>
    </w:p>
    <w:p w:rsidR="00270590" w:rsidRPr="0020255B" w:rsidRDefault="00270590" w:rsidP="00270590">
      <w:pPr>
        <w:rPr>
          <w:rFonts w:ascii="Calibri" w:eastAsia="Calibri" w:hAnsi="Calibri"/>
          <w:sz w:val="22"/>
          <w:szCs w:val="22"/>
          <w:lang w:val="en-US"/>
        </w:rPr>
      </w:pPr>
    </w:p>
    <w:p w:rsidR="00270590" w:rsidRPr="0020255B" w:rsidRDefault="00270590" w:rsidP="00270590">
      <w:pPr>
        <w:rPr>
          <w:rFonts w:eastAsia="Calibri"/>
          <w:lang w:val="en-US"/>
        </w:rPr>
      </w:pPr>
    </w:p>
    <w:p w:rsidR="004C6224" w:rsidRPr="00B71A74" w:rsidRDefault="004C6224" w:rsidP="004C6224">
      <w:pPr>
        <w:spacing w:after="120" w:line="240" w:lineRule="atLeast"/>
        <w:ind w:right="-143"/>
        <w:rPr>
          <w:rFonts w:ascii="Arial" w:hAnsi="Arial" w:cs="Arial"/>
          <w:b/>
          <w:bCs/>
          <w:lang w:val="en-US"/>
        </w:rPr>
      </w:pPr>
    </w:p>
    <w:p w:rsidR="004C6224" w:rsidRPr="004C6224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r w:rsidRPr="004C6224">
        <w:rPr>
          <w:rFonts w:ascii="Arial" w:hAnsi="Arial" w:cs="Arial"/>
          <w:b/>
          <w:bCs/>
          <w:lang w:val="en-US"/>
        </w:rPr>
        <w:t>RussNeft Press-office</w:t>
      </w:r>
    </w:p>
    <w:p w:rsidR="004C6224" w:rsidRPr="004C6224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r w:rsidRPr="004C6224">
        <w:rPr>
          <w:rFonts w:ascii="Arial" w:hAnsi="Arial" w:cs="Arial"/>
          <w:b/>
          <w:bCs/>
          <w:lang w:val="en-US"/>
        </w:rPr>
        <w:t>Tel.: (495) 411-63-24,</w:t>
      </w:r>
    </w:p>
    <w:p w:rsidR="004C6224" w:rsidRPr="00933E91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r w:rsidRPr="004C6224">
        <w:rPr>
          <w:rFonts w:ascii="Arial" w:hAnsi="Arial" w:cs="Arial"/>
          <w:b/>
          <w:bCs/>
          <w:lang w:val="en-US"/>
        </w:rPr>
        <w:t>Fax: (495) 411-63-19</w:t>
      </w:r>
    </w:p>
    <w:p w:rsidR="004C6224" w:rsidRPr="005B2587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de-DE"/>
        </w:rPr>
      </w:pPr>
      <w:proofErr w:type="spellStart"/>
      <w:r w:rsidRPr="005B2587">
        <w:rPr>
          <w:rFonts w:ascii="Arial" w:hAnsi="Arial" w:cs="Arial"/>
          <w:b/>
          <w:bCs/>
          <w:lang w:val="de-DE"/>
        </w:rPr>
        <w:t>E-mail</w:t>
      </w:r>
      <w:proofErr w:type="spellEnd"/>
      <w:r w:rsidRPr="005B2587">
        <w:rPr>
          <w:rFonts w:ascii="Arial" w:hAnsi="Arial" w:cs="Arial"/>
          <w:b/>
          <w:bCs/>
          <w:lang w:val="de-DE"/>
        </w:rPr>
        <w:t>: pr@russneft.ru</w:t>
      </w:r>
    </w:p>
    <w:p w:rsidR="00276319" w:rsidRPr="00F36AD8" w:rsidRDefault="00276319" w:rsidP="00276319">
      <w:pPr>
        <w:rPr>
          <w:lang w:val="de-DE"/>
        </w:rPr>
      </w:pPr>
    </w:p>
    <w:p w:rsidR="00194B48" w:rsidRPr="00F36AD8" w:rsidRDefault="00194B48">
      <w:pPr>
        <w:rPr>
          <w:lang w:val="de-DE"/>
        </w:rPr>
      </w:pPr>
    </w:p>
    <w:sectPr w:rsidR="00194B48" w:rsidRPr="00F3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19"/>
    <w:rsid w:val="00001151"/>
    <w:rsid w:val="000055B1"/>
    <w:rsid w:val="000134B7"/>
    <w:rsid w:val="00022FE4"/>
    <w:rsid w:val="0002778E"/>
    <w:rsid w:val="000372AA"/>
    <w:rsid w:val="00051096"/>
    <w:rsid w:val="00085B4C"/>
    <w:rsid w:val="00087339"/>
    <w:rsid w:val="00092894"/>
    <w:rsid w:val="000937F3"/>
    <w:rsid w:val="000953F5"/>
    <w:rsid w:val="00096CBE"/>
    <w:rsid w:val="00097C0C"/>
    <w:rsid w:val="000A555C"/>
    <w:rsid w:val="000A5F60"/>
    <w:rsid w:val="000B25CD"/>
    <w:rsid w:val="000B4CCA"/>
    <w:rsid w:val="000B74E4"/>
    <w:rsid w:val="000C0EB0"/>
    <w:rsid w:val="000C11C8"/>
    <w:rsid w:val="000C1782"/>
    <w:rsid w:val="000C76C1"/>
    <w:rsid w:val="000D2FC8"/>
    <w:rsid w:val="000E0A35"/>
    <w:rsid w:val="000E3E7A"/>
    <w:rsid w:val="000E67B2"/>
    <w:rsid w:val="001036D9"/>
    <w:rsid w:val="00135D74"/>
    <w:rsid w:val="00143A0B"/>
    <w:rsid w:val="0014552E"/>
    <w:rsid w:val="00155CB2"/>
    <w:rsid w:val="00157A8D"/>
    <w:rsid w:val="00164A29"/>
    <w:rsid w:val="00176C51"/>
    <w:rsid w:val="00193F51"/>
    <w:rsid w:val="00194B48"/>
    <w:rsid w:val="001A0340"/>
    <w:rsid w:val="001A1859"/>
    <w:rsid w:val="001A376A"/>
    <w:rsid w:val="001B0AE8"/>
    <w:rsid w:val="001B16EA"/>
    <w:rsid w:val="001B4D09"/>
    <w:rsid w:val="001C1C58"/>
    <w:rsid w:val="001C34F3"/>
    <w:rsid w:val="001C7562"/>
    <w:rsid w:val="001D046D"/>
    <w:rsid w:val="001D5187"/>
    <w:rsid w:val="001D6FE4"/>
    <w:rsid w:val="001D7812"/>
    <w:rsid w:val="001D7E76"/>
    <w:rsid w:val="001E4D64"/>
    <w:rsid w:val="00201884"/>
    <w:rsid w:val="0020255B"/>
    <w:rsid w:val="00215DA7"/>
    <w:rsid w:val="0021762D"/>
    <w:rsid w:val="00225634"/>
    <w:rsid w:val="00226A43"/>
    <w:rsid w:val="00227575"/>
    <w:rsid w:val="002361B7"/>
    <w:rsid w:val="0024047F"/>
    <w:rsid w:val="00270590"/>
    <w:rsid w:val="00272896"/>
    <w:rsid w:val="00273086"/>
    <w:rsid w:val="00276319"/>
    <w:rsid w:val="002770A8"/>
    <w:rsid w:val="0029111F"/>
    <w:rsid w:val="002917A3"/>
    <w:rsid w:val="00296A52"/>
    <w:rsid w:val="002A0160"/>
    <w:rsid w:val="002A14B0"/>
    <w:rsid w:val="002B35C8"/>
    <w:rsid w:val="002B3674"/>
    <w:rsid w:val="002B51A1"/>
    <w:rsid w:val="002C49CE"/>
    <w:rsid w:val="002D0697"/>
    <w:rsid w:val="002D5257"/>
    <w:rsid w:val="002E409E"/>
    <w:rsid w:val="0030027F"/>
    <w:rsid w:val="00307B01"/>
    <w:rsid w:val="00324845"/>
    <w:rsid w:val="00332461"/>
    <w:rsid w:val="0034330F"/>
    <w:rsid w:val="00377002"/>
    <w:rsid w:val="00385E7B"/>
    <w:rsid w:val="003A2266"/>
    <w:rsid w:val="003C057B"/>
    <w:rsid w:val="003C79C0"/>
    <w:rsid w:val="003D23E7"/>
    <w:rsid w:val="003D42C4"/>
    <w:rsid w:val="003D5DA9"/>
    <w:rsid w:val="003E0E79"/>
    <w:rsid w:val="003E133F"/>
    <w:rsid w:val="003E29B4"/>
    <w:rsid w:val="003E2DBE"/>
    <w:rsid w:val="003E2F80"/>
    <w:rsid w:val="003E3C13"/>
    <w:rsid w:val="003E590E"/>
    <w:rsid w:val="003E7D38"/>
    <w:rsid w:val="0043123F"/>
    <w:rsid w:val="00443362"/>
    <w:rsid w:val="004557E3"/>
    <w:rsid w:val="004674CD"/>
    <w:rsid w:val="00471592"/>
    <w:rsid w:val="00475182"/>
    <w:rsid w:val="00476B89"/>
    <w:rsid w:val="004823DB"/>
    <w:rsid w:val="00485A6A"/>
    <w:rsid w:val="004B053A"/>
    <w:rsid w:val="004C602F"/>
    <w:rsid w:val="004C6224"/>
    <w:rsid w:val="004E0A2D"/>
    <w:rsid w:val="005050BA"/>
    <w:rsid w:val="00507C5C"/>
    <w:rsid w:val="005109A8"/>
    <w:rsid w:val="00510C8F"/>
    <w:rsid w:val="00524149"/>
    <w:rsid w:val="00547818"/>
    <w:rsid w:val="00555EFB"/>
    <w:rsid w:val="00562FD2"/>
    <w:rsid w:val="005641C0"/>
    <w:rsid w:val="00567004"/>
    <w:rsid w:val="00575402"/>
    <w:rsid w:val="00587AFA"/>
    <w:rsid w:val="00587FC0"/>
    <w:rsid w:val="0059089C"/>
    <w:rsid w:val="005A7ED8"/>
    <w:rsid w:val="005D53FA"/>
    <w:rsid w:val="005E03A9"/>
    <w:rsid w:val="005E2DEA"/>
    <w:rsid w:val="00601399"/>
    <w:rsid w:val="00603978"/>
    <w:rsid w:val="00604D45"/>
    <w:rsid w:val="00627154"/>
    <w:rsid w:val="00633124"/>
    <w:rsid w:val="00642FF0"/>
    <w:rsid w:val="006515C5"/>
    <w:rsid w:val="00666E06"/>
    <w:rsid w:val="006765A9"/>
    <w:rsid w:val="0068623B"/>
    <w:rsid w:val="00693B7A"/>
    <w:rsid w:val="006A177D"/>
    <w:rsid w:val="006B1BF8"/>
    <w:rsid w:val="006B6113"/>
    <w:rsid w:val="006C6EDC"/>
    <w:rsid w:val="006D04EB"/>
    <w:rsid w:val="006D4638"/>
    <w:rsid w:val="0070048D"/>
    <w:rsid w:val="007053CF"/>
    <w:rsid w:val="0072461A"/>
    <w:rsid w:val="0072704D"/>
    <w:rsid w:val="00736BD6"/>
    <w:rsid w:val="00752352"/>
    <w:rsid w:val="00752F67"/>
    <w:rsid w:val="00755A7D"/>
    <w:rsid w:val="00756018"/>
    <w:rsid w:val="00756D62"/>
    <w:rsid w:val="00757AE2"/>
    <w:rsid w:val="0078026E"/>
    <w:rsid w:val="00784172"/>
    <w:rsid w:val="007863CD"/>
    <w:rsid w:val="00786EFB"/>
    <w:rsid w:val="007A2185"/>
    <w:rsid w:val="007A30CB"/>
    <w:rsid w:val="007A6FBC"/>
    <w:rsid w:val="007C52A3"/>
    <w:rsid w:val="007D5611"/>
    <w:rsid w:val="007D5F53"/>
    <w:rsid w:val="007E526D"/>
    <w:rsid w:val="00821113"/>
    <w:rsid w:val="00826842"/>
    <w:rsid w:val="00826E6D"/>
    <w:rsid w:val="008271E6"/>
    <w:rsid w:val="00836557"/>
    <w:rsid w:val="0084219C"/>
    <w:rsid w:val="00852ED9"/>
    <w:rsid w:val="00863A95"/>
    <w:rsid w:val="008668E6"/>
    <w:rsid w:val="0089196F"/>
    <w:rsid w:val="00896907"/>
    <w:rsid w:val="008B0777"/>
    <w:rsid w:val="008B2755"/>
    <w:rsid w:val="008B7AFA"/>
    <w:rsid w:val="008E470C"/>
    <w:rsid w:val="008F4157"/>
    <w:rsid w:val="008F6E88"/>
    <w:rsid w:val="009111C7"/>
    <w:rsid w:val="00916AF5"/>
    <w:rsid w:val="00925328"/>
    <w:rsid w:val="00927845"/>
    <w:rsid w:val="009305F1"/>
    <w:rsid w:val="00930CDA"/>
    <w:rsid w:val="009505A6"/>
    <w:rsid w:val="0095519F"/>
    <w:rsid w:val="0095653A"/>
    <w:rsid w:val="0095703C"/>
    <w:rsid w:val="00957683"/>
    <w:rsid w:val="009672F2"/>
    <w:rsid w:val="00987299"/>
    <w:rsid w:val="009A205A"/>
    <w:rsid w:val="009A24DA"/>
    <w:rsid w:val="009A4EE4"/>
    <w:rsid w:val="009A4FAA"/>
    <w:rsid w:val="009B46B2"/>
    <w:rsid w:val="009C0C9E"/>
    <w:rsid w:val="009C1293"/>
    <w:rsid w:val="009C5310"/>
    <w:rsid w:val="009D1DA5"/>
    <w:rsid w:val="009D686C"/>
    <w:rsid w:val="009D6D7A"/>
    <w:rsid w:val="009E1C6D"/>
    <w:rsid w:val="009E4D77"/>
    <w:rsid w:val="009F3B36"/>
    <w:rsid w:val="009F485D"/>
    <w:rsid w:val="00A00605"/>
    <w:rsid w:val="00A13B7B"/>
    <w:rsid w:val="00A4048F"/>
    <w:rsid w:val="00A57085"/>
    <w:rsid w:val="00A72963"/>
    <w:rsid w:val="00A818FA"/>
    <w:rsid w:val="00A81EEC"/>
    <w:rsid w:val="00A925D2"/>
    <w:rsid w:val="00A9359B"/>
    <w:rsid w:val="00AB5CBE"/>
    <w:rsid w:val="00AD01F5"/>
    <w:rsid w:val="00AD06E1"/>
    <w:rsid w:val="00AF1DA4"/>
    <w:rsid w:val="00B070F6"/>
    <w:rsid w:val="00B20AD8"/>
    <w:rsid w:val="00B26AB9"/>
    <w:rsid w:val="00B31BE5"/>
    <w:rsid w:val="00B431D4"/>
    <w:rsid w:val="00B55B2B"/>
    <w:rsid w:val="00B60134"/>
    <w:rsid w:val="00B65A3E"/>
    <w:rsid w:val="00B71A74"/>
    <w:rsid w:val="00B775E0"/>
    <w:rsid w:val="00B916F4"/>
    <w:rsid w:val="00BA1196"/>
    <w:rsid w:val="00BB67D6"/>
    <w:rsid w:val="00BC00CF"/>
    <w:rsid w:val="00BD1869"/>
    <w:rsid w:val="00BD3CC9"/>
    <w:rsid w:val="00BD4D24"/>
    <w:rsid w:val="00BD5D6F"/>
    <w:rsid w:val="00BF29D1"/>
    <w:rsid w:val="00BF7E46"/>
    <w:rsid w:val="00C01C02"/>
    <w:rsid w:val="00C066F5"/>
    <w:rsid w:val="00C117AC"/>
    <w:rsid w:val="00C255F7"/>
    <w:rsid w:val="00C32DCF"/>
    <w:rsid w:val="00C332EB"/>
    <w:rsid w:val="00C36D42"/>
    <w:rsid w:val="00C4710C"/>
    <w:rsid w:val="00C53203"/>
    <w:rsid w:val="00C635FF"/>
    <w:rsid w:val="00C722CD"/>
    <w:rsid w:val="00C83EC2"/>
    <w:rsid w:val="00CB21D5"/>
    <w:rsid w:val="00CC254C"/>
    <w:rsid w:val="00CE1C17"/>
    <w:rsid w:val="00CE289D"/>
    <w:rsid w:val="00CF1944"/>
    <w:rsid w:val="00D039FA"/>
    <w:rsid w:val="00D03BCE"/>
    <w:rsid w:val="00D04971"/>
    <w:rsid w:val="00D15AD2"/>
    <w:rsid w:val="00D2451A"/>
    <w:rsid w:val="00D255DC"/>
    <w:rsid w:val="00D316B7"/>
    <w:rsid w:val="00D360A3"/>
    <w:rsid w:val="00D37571"/>
    <w:rsid w:val="00D42D8D"/>
    <w:rsid w:val="00D50A89"/>
    <w:rsid w:val="00D60AAC"/>
    <w:rsid w:val="00D91F0F"/>
    <w:rsid w:val="00DB49F3"/>
    <w:rsid w:val="00DB7AF2"/>
    <w:rsid w:val="00DE5193"/>
    <w:rsid w:val="00DF0777"/>
    <w:rsid w:val="00DF3F6A"/>
    <w:rsid w:val="00DF636C"/>
    <w:rsid w:val="00E03507"/>
    <w:rsid w:val="00E25CFE"/>
    <w:rsid w:val="00E3393F"/>
    <w:rsid w:val="00E33C65"/>
    <w:rsid w:val="00E4135E"/>
    <w:rsid w:val="00E42437"/>
    <w:rsid w:val="00E43ED0"/>
    <w:rsid w:val="00E46C3E"/>
    <w:rsid w:val="00E5282B"/>
    <w:rsid w:val="00E5282E"/>
    <w:rsid w:val="00E55A43"/>
    <w:rsid w:val="00E64BE5"/>
    <w:rsid w:val="00EA5308"/>
    <w:rsid w:val="00EB0595"/>
    <w:rsid w:val="00EB479A"/>
    <w:rsid w:val="00ED1BFF"/>
    <w:rsid w:val="00ED5BD1"/>
    <w:rsid w:val="00ED6BA9"/>
    <w:rsid w:val="00EE2CE6"/>
    <w:rsid w:val="00EE3CE5"/>
    <w:rsid w:val="00EF373F"/>
    <w:rsid w:val="00EF7D5E"/>
    <w:rsid w:val="00F0049C"/>
    <w:rsid w:val="00F05D08"/>
    <w:rsid w:val="00F24E40"/>
    <w:rsid w:val="00F327CA"/>
    <w:rsid w:val="00F36AD8"/>
    <w:rsid w:val="00F4218A"/>
    <w:rsid w:val="00F54F9B"/>
    <w:rsid w:val="00F61722"/>
    <w:rsid w:val="00F63B17"/>
    <w:rsid w:val="00FA3659"/>
    <w:rsid w:val="00FA3759"/>
    <w:rsid w:val="00FB4D4C"/>
    <w:rsid w:val="00FC05AE"/>
    <w:rsid w:val="00FC2C76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EEEEEE"/>
                <w:right w:val="none" w:sz="0" w:space="0" w:color="auto"/>
              </w:divBdr>
              <w:divsChild>
                <w:div w:id="20982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895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406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0615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2016-09-21T12:17:00Z</cp:lastPrinted>
  <dcterms:created xsi:type="dcterms:W3CDTF">2016-10-11T10:42:00Z</dcterms:created>
  <dcterms:modified xsi:type="dcterms:W3CDTF">2016-10-11T10:42:00Z</dcterms:modified>
</cp:coreProperties>
</file>