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1B" w:rsidRDefault="006E39C0" w:rsidP="00D5031B">
      <w:pPr>
        <w:pStyle w:val="1"/>
        <w:jc w:val="center"/>
      </w:pPr>
      <w:r>
        <w:rPr>
          <w:noProof/>
          <w:lang w:eastAsia="ru-RU"/>
        </w:rPr>
        <w:drawing>
          <wp:inline distT="0" distB="0" distL="0" distR="0">
            <wp:extent cx="1781175" cy="742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mage.gif"/>
                    <pic:cNvPicPr/>
                  </pic:nvPicPr>
                  <pic:blipFill>
                    <a:blip r:embed="rId6">
                      <a:extLst>
                        <a:ext uri="{28A0092B-C50C-407E-A947-70E740481C1C}">
                          <a14:useLocalDpi xmlns:a14="http://schemas.microsoft.com/office/drawing/2010/main" val="0"/>
                        </a:ext>
                      </a:extLst>
                    </a:blip>
                    <a:stretch>
                      <a:fillRect/>
                    </a:stretch>
                  </pic:blipFill>
                  <pic:spPr>
                    <a:xfrm>
                      <a:off x="0" y="0"/>
                      <a:ext cx="1781175" cy="742950"/>
                    </a:xfrm>
                    <a:prstGeom prst="rect">
                      <a:avLst/>
                    </a:prstGeom>
                  </pic:spPr>
                </pic:pic>
              </a:graphicData>
            </a:graphic>
          </wp:inline>
        </w:drawing>
      </w:r>
    </w:p>
    <w:p w:rsidR="00D5031B" w:rsidRPr="00D671DD" w:rsidRDefault="006E39C0" w:rsidP="00D5031B">
      <w:pPr>
        <w:pStyle w:val="1"/>
        <w:jc w:val="center"/>
        <w:outlineLvl w:val="0"/>
        <w:rPr>
          <w:rFonts w:ascii="Arial" w:hAnsi="Arial" w:cs="Arial"/>
          <w:b/>
          <w:lang w:val="en-US"/>
        </w:rPr>
      </w:pPr>
      <w:bookmarkStart w:id="0" w:name="_GoBack"/>
      <w:bookmarkEnd w:id="0"/>
      <w:r w:rsidRPr="00D671DD">
        <w:rPr>
          <w:rFonts w:ascii="Arial" w:hAnsi="Arial" w:cs="Arial"/>
          <w:b/>
          <w:lang w:val="en-US"/>
        </w:rPr>
        <w:t>AO NK RUSSNEFT PRESS-</w:t>
      </w:r>
      <w:r w:rsidR="00D671DD">
        <w:rPr>
          <w:rFonts w:ascii="Arial" w:hAnsi="Arial" w:cs="Arial"/>
          <w:b/>
          <w:lang w:val="en-US"/>
        </w:rPr>
        <w:t>OFFICE</w:t>
      </w:r>
      <w:r w:rsidRPr="00D671DD">
        <w:rPr>
          <w:rFonts w:ascii="Arial" w:hAnsi="Arial" w:cs="Arial"/>
          <w:b/>
          <w:lang w:val="en-US"/>
        </w:rPr>
        <w:t xml:space="preserve"> </w:t>
      </w:r>
      <w:r w:rsidR="00D5031B">
        <w:rPr>
          <w:noProof/>
          <w:lang w:eastAsia="ru-RU"/>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635" cy="635"/>
            <wp:effectExtent l="0" t="0" r="0" b="0"/>
            <wp:wrapTopAndBottom/>
            <wp:docPr id="2" name="Рисунок 2" descr="cid:image001.png@01C145ED.A904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145ED.A904E30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p>
    <w:p w:rsidR="00D5031B" w:rsidRPr="006E39C0" w:rsidRDefault="006E39C0" w:rsidP="00D5031B">
      <w:pPr>
        <w:pStyle w:val="1"/>
        <w:jc w:val="center"/>
        <w:outlineLvl w:val="0"/>
        <w:rPr>
          <w:rFonts w:ascii="Arial" w:hAnsi="Arial" w:cs="Times New Roman"/>
          <w:b/>
          <w:lang w:val="en-US"/>
        </w:rPr>
      </w:pPr>
      <w:r>
        <w:rPr>
          <w:rFonts w:ascii="Arial" w:hAnsi="Arial"/>
          <w:b/>
          <w:lang w:val="en-US"/>
        </w:rPr>
        <w:t>PRESS 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3"/>
      </w:tblGrid>
      <w:tr w:rsidR="00D5031B" w:rsidRPr="00D671DD" w:rsidTr="00733799">
        <w:trPr>
          <w:trHeight w:val="1280"/>
        </w:trPr>
        <w:tc>
          <w:tcPr>
            <w:tcW w:w="4798" w:type="dxa"/>
            <w:tcBorders>
              <w:top w:val="single" w:sz="4" w:space="0" w:color="auto"/>
              <w:left w:val="single" w:sz="4" w:space="0" w:color="auto"/>
              <w:bottom w:val="single" w:sz="4" w:space="0" w:color="auto"/>
              <w:right w:val="single" w:sz="4" w:space="0" w:color="auto"/>
            </w:tcBorders>
            <w:hideMark/>
          </w:tcPr>
          <w:p w:rsidR="00D5031B" w:rsidRDefault="00D671DD">
            <w:pPr>
              <w:rPr>
                <w:rFonts w:ascii="Arial" w:hAnsi="Arial" w:cs="Arial"/>
                <w:b/>
                <w:lang w:val="it-IT"/>
              </w:rPr>
            </w:pPr>
            <w:r>
              <w:rPr>
                <w:rFonts w:ascii="Arial" w:hAnsi="Arial" w:cs="Arial"/>
                <w:b/>
                <w:lang w:val="en-US"/>
              </w:rPr>
              <w:t>Tel</w:t>
            </w:r>
            <w:r w:rsidR="00D5031B">
              <w:rPr>
                <w:rFonts w:ascii="Arial" w:hAnsi="Arial" w:cs="Arial"/>
                <w:b/>
                <w:lang w:val="it-IT"/>
              </w:rPr>
              <w:t>.:   (495) 411-63-24; (495) 411-63-21</w:t>
            </w:r>
          </w:p>
          <w:p w:rsidR="00D5031B" w:rsidRDefault="00D671DD">
            <w:pPr>
              <w:rPr>
                <w:rFonts w:ascii="Arial" w:hAnsi="Arial" w:cs="Arial"/>
                <w:b/>
                <w:lang w:val="it-IT"/>
              </w:rPr>
            </w:pPr>
            <w:r>
              <w:rPr>
                <w:rFonts w:ascii="Arial" w:hAnsi="Arial" w:cs="Arial"/>
                <w:b/>
                <w:lang w:val="en-US"/>
              </w:rPr>
              <w:t>Fax</w:t>
            </w:r>
            <w:r w:rsidR="00D5031B">
              <w:rPr>
                <w:rFonts w:ascii="Arial" w:hAnsi="Arial" w:cs="Arial"/>
                <w:b/>
                <w:lang w:val="it-IT"/>
              </w:rPr>
              <w:t xml:space="preserve">: (495) 411-63-19 </w:t>
            </w:r>
          </w:p>
          <w:p w:rsidR="00D5031B" w:rsidRDefault="00D5031B">
            <w:pPr>
              <w:rPr>
                <w:rFonts w:ascii="Arial" w:hAnsi="Arial" w:cs="Arial"/>
                <w:b/>
                <w:lang w:val="it-IT"/>
              </w:rPr>
            </w:pPr>
            <w:r>
              <w:rPr>
                <w:rFonts w:ascii="Arial" w:hAnsi="Arial" w:cs="Arial"/>
                <w:b/>
                <w:lang w:val="it-IT"/>
              </w:rPr>
              <w:t>E-mail: pr@russneft.ru</w:t>
            </w:r>
          </w:p>
          <w:p w:rsidR="00D5031B" w:rsidRPr="00D671DD" w:rsidRDefault="00444426">
            <w:pPr>
              <w:rPr>
                <w:lang w:val="en-US"/>
              </w:rPr>
            </w:pPr>
            <w:hyperlink r:id="rId8" w:history="1">
              <w:r w:rsidR="00D5031B" w:rsidRPr="00D671DD">
                <w:rPr>
                  <w:rStyle w:val="a3"/>
                  <w:rFonts w:ascii="Arial" w:hAnsi="Arial" w:cs="Arial"/>
                  <w:b/>
                  <w:lang w:val="en-US"/>
                </w:rPr>
                <w:t>www.russneft.ru</w:t>
              </w:r>
            </w:hyperlink>
          </w:p>
        </w:tc>
        <w:tc>
          <w:tcPr>
            <w:tcW w:w="4773" w:type="dxa"/>
            <w:tcBorders>
              <w:top w:val="single" w:sz="4" w:space="0" w:color="auto"/>
              <w:left w:val="single" w:sz="4" w:space="0" w:color="auto"/>
              <w:bottom w:val="single" w:sz="4" w:space="0" w:color="auto"/>
              <w:right w:val="single" w:sz="4" w:space="0" w:color="auto"/>
            </w:tcBorders>
            <w:hideMark/>
          </w:tcPr>
          <w:p w:rsidR="00D671DD" w:rsidRPr="00D671DD" w:rsidRDefault="008A2882" w:rsidP="00D671DD">
            <w:pPr>
              <w:rPr>
                <w:rFonts w:ascii="Arial" w:hAnsi="Arial" w:cs="Arial"/>
                <w:lang w:val="en-US"/>
              </w:rPr>
            </w:pPr>
            <w:r>
              <w:rPr>
                <w:rFonts w:ascii="Arial" w:hAnsi="Arial" w:cs="Arial"/>
                <w:b/>
                <w:lang w:val="en-US"/>
              </w:rPr>
              <w:t>u</w:t>
            </w:r>
            <w:r w:rsidR="00D671DD">
              <w:rPr>
                <w:rFonts w:ascii="Arial" w:hAnsi="Arial" w:cs="Arial"/>
                <w:b/>
                <w:lang w:val="en-US"/>
              </w:rPr>
              <w:t xml:space="preserve">l. </w:t>
            </w:r>
            <w:proofErr w:type="spellStart"/>
            <w:r w:rsidR="00D671DD">
              <w:rPr>
                <w:rFonts w:ascii="Arial" w:hAnsi="Arial" w:cs="Arial"/>
                <w:b/>
                <w:lang w:val="en-US"/>
              </w:rPr>
              <w:t>Pyatnitskaya</w:t>
            </w:r>
            <w:proofErr w:type="spellEnd"/>
            <w:r w:rsidR="00D671DD">
              <w:rPr>
                <w:rFonts w:ascii="Arial" w:hAnsi="Arial" w:cs="Arial"/>
                <w:b/>
                <w:lang w:val="en-US"/>
              </w:rPr>
              <w:t xml:space="preserve"> 69, </w:t>
            </w:r>
            <w:r w:rsidR="00D5031B" w:rsidRPr="00D671DD">
              <w:rPr>
                <w:rFonts w:ascii="Arial" w:hAnsi="Arial" w:cs="Arial"/>
                <w:b/>
                <w:lang w:val="en-US"/>
              </w:rPr>
              <w:t xml:space="preserve">115054, </w:t>
            </w:r>
            <w:r w:rsidR="00D671DD">
              <w:rPr>
                <w:rFonts w:ascii="Arial" w:hAnsi="Arial" w:cs="Arial"/>
                <w:b/>
                <w:lang w:val="en-US"/>
              </w:rPr>
              <w:t>Moscow</w:t>
            </w:r>
          </w:p>
          <w:p w:rsidR="00D5031B" w:rsidRPr="00D671DD" w:rsidRDefault="00D5031B">
            <w:pPr>
              <w:rPr>
                <w:rFonts w:ascii="Arial" w:hAnsi="Arial" w:cs="Arial"/>
                <w:lang w:val="en-US"/>
              </w:rPr>
            </w:pPr>
          </w:p>
          <w:p w:rsidR="00D5031B" w:rsidRPr="00D671DD" w:rsidRDefault="00D5031B">
            <w:pPr>
              <w:rPr>
                <w:lang w:val="en-US"/>
              </w:rPr>
            </w:pPr>
            <w:r w:rsidRPr="00D671DD">
              <w:rPr>
                <w:lang w:val="en-US"/>
              </w:rPr>
              <w:t xml:space="preserve"> </w:t>
            </w:r>
          </w:p>
        </w:tc>
      </w:tr>
    </w:tbl>
    <w:p w:rsidR="00FF7CA5" w:rsidRDefault="00FF7CA5" w:rsidP="00FF7CA5">
      <w:pPr>
        <w:spacing w:line="380" w:lineRule="atLeast"/>
        <w:jc w:val="center"/>
        <w:rPr>
          <w:rFonts w:ascii="Tahoma" w:hAnsi="Tahoma" w:cs="Tahoma"/>
          <w:b/>
          <w:bCs/>
          <w:sz w:val="32"/>
          <w:lang w:val="de-DE"/>
        </w:rPr>
      </w:pPr>
    </w:p>
    <w:p w:rsidR="00FF7CA5" w:rsidRPr="00FF7CA5" w:rsidRDefault="00FF7CA5" w:rsidP="00FF7CA5">
      <w:pPr>
        <w:keepNext/>
        <w:widowControl w:val="0"/>
        <w:shd w:val="clear" w:color="auto" w:fill="FFFFFF"/>
        <w:tabs>
          <w:tab w:val="left" w:pos="7200"/>
          <w:tab w:val="left" w:leader="underscore" w:pos="7670"/>
          <w:tab w:val="left" w:leader="underscore" w:pos="8942"/>
        </w:tabs>
        <w:autoSpaceDE w:val="0"/>
        <w:autoSpaceDN w:val="0"/>
        <w:adjustRightInd w:val="0"/>
        <w:spacing w:before="264" w:line="276" w:lineRule="auto"/>
        <w:jc w:val="center"/>
        <w:outlineLvl w:val="0"/>
        <w:rPr>
          <w:b/>
          <w:sz w:val="32"/>
          <w:szCs w:val="32"/>
        </w:rPr>
      </w:pPr>
      <w:r w:rsidRPr="00FF7CA5">
        <w:rPr>
          <w:b/>
          <w:sz w:val="32"/>
          <w:szCs w:val="32"/>
        </w:rPr>
        <w:t>May 21, 2015</w:t>
      </w:r>
    </w:p>
    <w:p w:rsidR="00FF7CA5" w:rsidRPr="00FF7CA5" w:rsidRDefault="00FF7CA5" w:rsidP="00FF7CA5">
      <w:pPr>
        <w:keepNext/>
        <w:widowControl w:val="0"/>
        <w:shd w:val="clear" w:color="auto" w:fill="FFFFFF"/>
        <w:tabs>
          <w:tab w:val="left" w:pos="7200"/>
          <w:tab w:val="left" w:leader="underscore" w:pos="7670"/>
          <w:tab w:val="left" w:leader="underscore" w:pos="8942"/>
        </w:tabs>
        <w:autoSpaceDE w:val="0"/>
        <w:autoSpaceDN w:val="0"/>
        <w:adjustRightInd w:val="0"/>
        <w:spacing w:before="264" w:line="276" w:lineRule="auto"/>
        <w:jc w:val="center"/>
        <w:outlineLvl w:val="0"/>
        <w:rPr>
          <w:b/>
          <w:sz w:val="32"/>
          <w:szCs w:val="32"/>
        </w:rPr>
      </w:pPr>
      <w:r w:rsidRPr="00FF7CA5">
        <w:rPr>
          <w:b/>
          <w:sz w:val="32"/>
          <w:szCs w:val="32"/>
        </w:rPr>
        <w:t>Press release</w:t>
      </w:r>
    </w:p>
    <w:p w:rsidR="00FF7CA5" w:rsidRDefault="00FF7CA5" w:rsidP="00FF7CA5">
      <w:pPr>
        <w:spacing w:line="380" w:lineRule="atLeast"/>
        <w:jc w:val="both"/>
        <w:rPr>
          <w:rFonts w:ascii="Tahoma" w:hAnsi="Tahoma" w:cs="Tahoma"/>
          <w:b/>
          <w:bCs/>
          <w:lang w:val="en-US"/>
        </w:rPr>
      </w:pPr>
    </w:p>
    <w:p w:rsidR="00FF7CA5" w:rsidRPr="00444426" w:rsidRDefault="00FF7CA5" w:rsidP="00FF7CA5">
      <w:pPr>
        <w:keepNext/>
        <w:widowControl w:val="0"/>
        <w:shd w:val="clear" w:color="auto" w:fill="FFFFFF"/>
        <w:tabs>
          <w:tab w:val="left" w:pos="7200"/>
          <w:tab w:val="left" w:leader="underscore" w:pos="7670"/>
          <w:tab w:val="left" w:leader="underscore" w:pos="8942"/>
        </w:tabs>
        <w:autoSpaceDE w:val="0"/>
        <w:autoSpaceDN w:val="0"/>
        <w:adjustRightInd w:val="0"/>
        <w:spacing w:before="264" w:line="276" w:lineRule="auto"/>
        <w:outlineLvl w:val="0"/>
        <w:rPr>
          <w:b/>
          <w:sz w:val="32"/>
          <w:szCs w:val="32"/>
          <w:lang w:val="en-US"/>
        </w:rPr>
      </w:pPr>
      <w:proofErr w:type="spellStart"/>
      <w:r w:rsidRPr="00444426">
        <w:rPr>
          <w:b/>
          <w:sz w:val="32"/>
          <w:szCs w:val="32"/>
          <w:lang w:val="en-US"/>
        </w:rPr>
        <w:t>RussNeft</w:t>
      </w:r>
      <w:proofErr w:type="spellEnd"/>
      <w:r w:rsidRPr="00444426">
        <w:rPr>
          <w:b/>
          <w:sz w:val="32"/>
          <w:szCs w:val="32"/>
          <w:lang w:val="en-US"/>
        </w:rPr>
        <w:t xml:space="preserve"> assisted in restoration of the Cathedral of the Ascension of the Savior in Ulyanovsk</w:t>
      </w:r>
    </w:p>
    <w:p w:rsidR="00FF7CA5" w:rsidRDefault="00FF7CA5" w:rsidP="00FF7CA5">
      <w:pPr>
        <w:spacing w:line="380" w:lineRule="atLeast"/>
        <w:jc w:val="both"/>
        <w:rPr>
          <w:rFonts w:ascii="Tahoma" w:hAnsi="Tahoma" w:cs="Tahoma"/>
          <w:b/>
          <w:bCs/>
          <w:lang w:val="en-US"/>
        </w:rPr>
      </w:pPr>
    </w:p>
    <w:p w:rsidR="00FF7CA5" w:rsidRPr="00FF7CA5" w:rsidRDefault="00FF7CA5" w:rsidP="00FF7CA5">
      <w:pPr>
        <w:spacing w:line="360" w:lineRule="auto"/>
        <w:ind w:firstLine="567"/>
        <w:jc w:val="both"/>
        <w:rPr>
          <w:sz w:val="32"/>
          <w:szCs w:val="32"/>
          <w:lang w:val="en-US"/>
        </w:rPr>
      </w:pPr>
      <w:r w:rsidRPr="00444426">
        <w:rPr>
          <w:b/>
          <w:sz w:val="32"/>
          <w:szCs w:val="32"/>
          <w:lang w:val="en-US"/>
        </w:rPr>
        <w:t>Ulyanovsk</w:t>
      </w:r>
      <w:r w:rsidRPr="00444426">
        <w:rPr>
          <w:sz w:val="32"/>
          <w:szCs w:val="32"/>
          <w:lang w:val="en-US"/>
        </w:rPr>
        <w:t xml:space="preserve">. </w:t>
      </w:r>
      <w:proofErr w:type="spellStart"/>
      <w:r w:rsidRPr="00FF7CA5">
        <w:rPr>
          <w:sz w:val="32"/>
          <w:szCs w:val="32"/>
          <w:lang w:val="en-US"/>
        </w:rPr>
        <w:t>RussNeft</w:t>
      </w:r>
      <w:proofErr w:type="spellEnd"/>
      <w:r w:rsidRPr="00FF7CA5">
        <w:rPr>
          <w:sz w:val="32"/>
          <w:szCs w:val="32"/>
          <w:lang w:val="en-US"/>
        </w:rPr>
        <w:t xml:space="preserve"> assisted in restoration of the Cathedral of the Ascension of the Savior in Ulyanovsk, one of the Russian architecture masterpieces.</w:t>
      </w:r>
    </w:p>
    <w:p w:rsidR="00FF7CA5" w:rsidRPr="00444426" w:rsidRDefault="00FF7CA5" w:rsidP="00FF7CA5">
      <w:pPr>
        <w:spacing w:line="360" w:lineRule="auto"/>
        <w:ind w:firstLine="567"/>
        <w:jc w:val="both"/>
        <w:rPr>
          <w:sz w:val="32"/>
          <w:szCs w:val="32"/>
          <w:lang w:val="en-US"/>
        </w:rPr>
      </w:pPr>
      <w:r w:rsidRPr="00FF7CA5">
        <w:rPr>
          <w:sz w:val="32"/>
          <w:szCs w:val="32"/>
          <w:lang w:val="en-US"/>
        </w:rPr>
        <w:t xml:space="preserve">The consecration service of the restored Cathedral was performed by Patriarch Kirill of Moscow and Russia on May 21. </w:t>
      </w:r>
      <w:r w:rsidRPr="00444426">
        <w:rPr>
          <w:sz w:val="32"/>
          <w:szCs w:val="32"/>
          <w:lang w:val="en-US"/>
        </w:rPr>
        <w:t xml:space="preserve">Sergey </w:t>
      </w:r>
      <w:proofErr w:type="spellStart"/>
      <w:r w:rsidRPr="00444426">
        <w:rPr>
          <w:sz w:val="32"/>
          <w:szCs w:val="32"/>
          <w:lang w:val="en-US"/>
        </w:rPr>
        <w:t>Morozov</w:t>
      </w:r>
      <w:proofErr w:type="spellEnd"/>
      <w:r w:rsidRPr="00444426">
        <w:rPr>
          <w:sz w:val="32"/>
          <w:szCs w:val="32"/>
          <w:lang w:val="en-US"/>
        </w:rPr>
        <w:t>, the governor of the Ulyanovsk region as well as the authorities’, church, business and culture representatives took part in the solemn ceremony.</w:t>
      </w:r>
    </w:p>
    <w:p w:rsidR="00FF7CA5" w:rsidRPr="00444426" w:rsidRDefault="00FF7CA5" w:rsidP="00FF7CA5">
      <w:pPr>
        <w:spacing w:line="360" w:lineRule="auto"/>
        <w:ind w:firstLine="567"/>
        <w:jc w:val="both"/>
        <w:rPr>
          <w:sz w:val="32"/>
          <w:szCs w:val="32"/>
          <w:lang w:val="en-US"/>
        </w:rPr>
      </w:pPr>
      <w:r w:rsidRPr="00444426">
        <w:rPr>
          <w:sz w:val="32"/>
          <w:szCs w:val="32"/>
          <w:lang w:val="en-US"/>
        </w:rPr>
        <w:t xml:space="preserve">The Cathedral of the Savior Ascension is one of the most famous and impressive architectural monuments of the Russian Orthodox Church, it was established in 1844. The Cathedral suffered from fire in XIX century and was built all over again, but it was completely ruined during the period when the churches were destructed, in the 30-s. The eparchy and the government of Ulyanovsk region initiated restoration of the Cathedral. Mikhail </w:t>
      </w:r>
      <w:proofErr w:type="spellStart"/>
      <w:r w:rsidRPr="00444426">
        <w:rPr>
          <w:sz w:val="32"/>
          <w:szCs w:val="32"/>
          <w:lang w:val="en-US"/>
        </w:rPr>
        <w:t>Gutseriev</w:t>
      </w:r>
      <w:proofErr w:type="spellEnd"/>
      <w:r w:rsidRPr="00444426">
        <w:rPr>
          <w:sz w:val="32"/>
          <w:szCs w:val="32"/>
          <w:lang w:val="en-US"/>
        </w:rPr>
        <w:t xml:space="preserve"> was among the first who responded to request for assistance in restoration of the holy place. </w:t>
      </w:r>
      <w:proofErr w:type="spellStart"/>
      <w:r w:rsidRPr="00444426">
        <w:rPr>
          <w:sz w:val="32"/>
          <w:szCs w:val="32"/>
          <w:lang w:val="en-US"/>
        </w:rPr>
        <w:t>RussNeft</w:t>
      </w:r>
      <w:proofErr w:type="spellEnd"/>
      <w:r w:rsidRPr="00444426">
        <w:rPr>
          <w:sz w:val="32"/>
          <w:szCs w:val="32"/>
          <w:lang w:val="en-US"/>
        </w:rPr>
        <w:t xml:space="preserve"> became </w:t>
      </w:r>
      <w:r w:rsidRPr="00444426">
        <w:rPr>
          <w:sz w:val="32"/>
          <w:szCs w:val="32"/>
          <w:lang w:val="en-US"/>
        </w:rPr>
        <w:lastRenderedPageBreak/>
        <w:t xml:space="preserve">the main donator, allocating above 250 </w:t>
      </w:r>
      <w:proofErr w:type="spellStart"/>
      <w:r w:rsidRPr="00444426">
        <w:rPr>
          <w:sz w:val="32"/>
          <w:szCs w:val="32"/>
          <w:lang w:val="en-US"/>
        </w:rPr>
        <w:t>mln</w:t>
      </w:r>
      <w:proofErr w:type="spellEnd"/>
      <w:r w:rsidRPr="00444426">
        <w:rPr>
          <w:sz w:val="32"/>
          <w:szCs w:val="32"/>
          <w:lang w:val="en-US"/>
        </w:rPr>
        <w:t xml:space="preserve"> rubles for the construction of the Cathedral.</w:t>
      </w:r>
    </w:p>
    <w:p w:rsidR="00FF7CA5" w:rsidRPr="00444426" w:rsidRDefault="00FF7CA5" w:rsidP="00FF7CA5">
      <w:pPr>
        <w:spacing w:line="360" w:lineRule="auto"/>
        <w:ind w:firstLine="567"/>
        <w:jc w:val="both"/>
        <w:rPr>
          <w:sz w:val="32"/>
          <w:szCs w:val="32"/>
          <w:lang w:val="en-US"/>
        </w:rPr>
      </w:pPr>
      <w:r w:rsidRPr="00444426">
        <w:rPr>
          <w:sz w:val="32"/>
          <w:szCs w:val="32"/>
          <w:lang w:val="en-US"/>
        </w:rPr>
        <w:t xml:space="preserve">Patriarch Kirill of Moscow and Russia highly evaluated the contribution of Mikhail </w:t>
      </w:r>
      <w:proofErr w:type="spellStart"/>
      <w:r w:rsidRPr="00444426">
        <w:rPr>
          <w:sz w:val="32"/>
          <w:szCs w:val="32"/>
          <w:lang w:val="en-US"/>
        </w:rPr>
        <w:t>Gutseriev</w:t>
      </w:r>
      <w:proofErr w:type="spellEnd"/>
      <w:r w:rsidRPr="00444426">
        <w:rPr>
          <w:sz w:val="32"/>
          <w:szCs w:val="32"/>
          <w:lang w:val="en-US"/>
        </w:rPr>
        <w:t xml:space="preserve"> into restoration of the Cathedral of the Ascension of the Savior, awarding him with one of the highest awards of the Russian Orthodox Church, by the Order of Glory and Honesty, Grade </w:t>
      </w:r>
      <w:r w:rsidR="00444426">
        <w:rPr>
          <w:sz w:val="32"/>
          <w:szCs w:val="32"/>
          <w:lang w:val="en-US"/>
        </w:rPr>
        <w:t>I</w:t>
      </w:r>
      <w:r w:rsidRPr="00444426">
        <w:rPr>
          <w:sz w:val="32"/>
          <w:szCs w:val="32"/>
          <w:lang w:val="en-US"/>
        </w:rPr>
        <w:t>II.</w:t>
      </w:r>
    </w:p>
    <w:p w:rsidR="00FF7CA5" w:rsidRPr="00444426" w:rsidRDefault="00FF7CA5" w:rsidP="00FF7CA5">
      <w:pPr>
        <w:spacing w:line="360" w:lineRule="auto"/>
        <w:ind w:firstLine="567"/>
        <w:jc w:val="both"/>
        <w:rPr>
          <w:sz w:val="32"/>
          <w:szCs w:val="32"/>
          <w:lang w:val="en-US"/>
        </w:rPr>
      </w:pPr>
      <w:r w:rsidRPr="00444426">
        <w:rPr>
          <w:sz w:val="32"/>
          <w:szCs w:val="32"/>
          <w:lang w:val="en-US"/>
        </w:rPr>
        <w:t xml:space="preserve">Restoration and construction of the significant buildings of different confessions is an integral part of </w:t>
      </w:r>
      <w:proofErr w:type="spellStart"/>
      <w:r w:rsidRPr="00444426">
        <w:rPr>
          <w:sz w:val="32"/>
          <w:szCs w:val="32"/>
          <w:lang w:val="en-US"/>
        </w:rPr>
        <w:t>RussNeft</w:t>
      </w:r>
      <w:proofErr w:type="spellEnd"/>
      <w:r w:rsidRPr="00444426">
        <w:rPr>
          <w:sz w:val="32"/>
          <w:szCs w:val="32"/>
          <w:lang w:val="en-US"/>
        </w:rPr>
        <w:t xml:space="preserve"> social policy. The oil and gas company contributed to construction of churches, mosques, synagogues, temples in Ulyanovsk, Saratov, Yaroslavl regions, Krasnoyarsk Territory, </w:t>
      </w:r>
      <w:proofErr w:type="spellStart"/>
      <w:r w:rsidRPr="00444426">
        <w:rPr>
          <w:sz w:val="32"/>
          <w:szCs w:val="32"/>
          <w:lang w:val="en-US"/>
        </w:rPr>
        <w:t>Udmurtiya</w:t>
      </w:r>
      <w:proofErr w:type="spellEnd"/>
      <w:r w:rsidRPr="00444426">
        <w:rPr>
          <w:sz w:val="32"/>
          <w:szCs w:val="32"/>
          <w:lang w:val="en-US"/>
        </w:rPr>
        <w:t xml:space="preserve">, the Chechen Republic, </w:t>
      </w:r>
      <w:proofErr w:type="spellStart"/>
      <w:r w:rsidRPr="00444426">
        <w:rPr>
          <w:sz w:val="32"/>
          <w:szCs w:val="32"/>
          <w:lang w:val="en-US"/>
        </w:rPr>
        <w:t>Buryatiya</w:t>
      </w:r>
      <w:proofErr w:type="spellEnd"/>
      <w:r w:rsidRPr="00444426">
        <w:rPr>
          <w:sz w:val="32"/>
          <w:szCs w:val="32"/>
          <w:lang w:val="en-US"/>
        </w:rPr>
        <w:t xml:space="preserve">, </w:t>
      </w:r>
      <w:proofErr w:type="spellStart"/>
      <w:r w:rsidRPr="00444426">
        <w:rPr>
          <w:sz w:val="32"/>
          <w:szCs w:val="32"/>
          <w:lang w:val="en-US"/>
        </w:rPr>
        <w:t>KhMAO</w:t>
      </w:r>
      <w:proofErr w:type="spellEnd"/>
      <w:r w:rsidRPr="00444426">
        <w:rPr>
          <w:sz w:val="32"/>
          <w:szCs w:val="32"/>
          <w:lang w:val="en-US"/>
        </w:rPr>
        <w:t>, Moscow and other regions of Russia.</w:t>
      </w:r>
    </w:p>
    <w:p w:rsidR="00FF7CA5" w:rsidRPr="00444426" w:rsidRDefault="00FF7CA5" w:rsidP="00FF7CA5">
      <w:pPr>
        <w:spacing w:line="360" w:lineRule="auto"/>
        <w:ind w:firstLine="567"/>
        <w:jc w:val="both"/>
        <w:rPr>
          <w:sz w:val="32"/>
          <w:szCs w:val="32"/>
          <w:lang w:val="en-US"/>
        </w:rPr>
      </w:pPr>
      <w:r w:rsidRPr="00444426">
        <w:rPr>
          <w:sz w:val="32"/>
          <w:szCs w:val="32"/>
          <w:lang w:val="en-US"/>
        </w:rPr>
        <w:t>The newly opened Cathedral of the Ascension of the Savior will become the largest spiritual center in the Volga region, the cultural and educational center.</w:t>
      </w:r>
    </w:p>
    <w:p w:rsidR="00FF7CA5" w:rsidRPr="00444426" w:rsidRDefault="00FF7CA5" w:rsidP="00FF7CA5">
      <w:pPr>
        <w:spacing w:line="360" w:lineRule="auto"/>
        <w:ind w:firstLine="567"/>
        <w:jc w:val="both"/>
        <w:rPr>
          <w:sz w:val="32"/>
          <w:szCs w:val="32"/>
          <w:lang w:val="en-US"/>
        </w:rPr>
      </w:pPr>
      <w:r w:rsidRPr="00444426">
        <w:rPr>
          <w:sz w:val="32"/>
          <w:szCs w:val="32"/>
          <w:lang w:val="en-US"/>
        </w:rPr>
        <w:t xml:space="preserve">Earlier Mikhail </w:t>
      </w:r>
      <w:proofErr w:type="spellStart"/>
      <w:r w:rsidRPr="00444426">
        <w:rPr>
          <w:sz w:val="32"/>
          <w:szCs w:val="32"/>
          <w:lang w:val="en-US"/>
        </w:rPr>
        <w:t>Gutseriev</w:t>
      </w:r>
      <w:proofErr w:type="spellEnd"/>
      <w:r w:rsidRPr="00444426">
        <w:rPr>
          <w:sz w:val="32"/>
          <w:szCs w:val="32"/>
          <w:lang w:val="en-US"/>
        </w:rPr>
        <w:t xml:space="preserve"> was remarked by the religious awards:</w:t>
      </w:r>
    </w:p>
    <w:p w:rsidR="00FF7CA5" w:rsidRPr="00444426" w:rsidRDefault="00FF7CA5" w:rsidP="00FF7CA5">
      <w:pPr>
        <w:spacing w:line="360" w:lineRule="auto"/>
        <w:ind w:firstLine="567"/>
        <w:jc w:val="both"/>
        <w:rPr>
          <w:sz w:val="32"/>
          <w:szCs w:val="32"/>
          <w:lang w:val="en-US"/>
        </w:rPr>
      </w:pPr>
      <w:r w:rsidRPr="00444426">
        <w:rPr>
          <w:sz w:val="32"/>
          <w:szCs w:val="32"/>
          <w:lang w:val="en-US"/>
        </w:rPr>
        <w:t xml:space="preserve">Order of St. </w:t>
      </w:r>
      <w:proofErr w:type="spellStart"/>
      <w:r w:rsidRPr="00444426">
        <w:rPr>
          <w:sz w:val="32"/>
          <w:szCs w:val="32"/>
          <w:lang w:val="en-US"/>
        </w:rPr>
        <w:t>Sergius</w:t>
      </w:r>
      <w:proofErr w:type="spellEnd"/>
      <w:r w:rsidRPr="00444426">
        <w:rPr>
          <w:sz w:val="32"/>
          <w:szCs w:val="32"/>
          <w:lang w:val="en-US"/>
        </w:rPr>
        <w:t xml:space="preserve"> of </w:t>
      </w:r>
      <w:proofErr w:type="spellStart"/>
      <w:r w:rsidRPr="00444426">
        <w:rPr>
          <w:sz w:val="32"/>
          <w:szCs w:val="32"/>
          <w:lang w:val="en-US"/>
        </w:rPr>
        <w:t>Radonezh</w:t>
      </w:r>
      <w:proofErr w:type="spellEnd"/>
      <w:r w:rsidRPr="00444426">
        <w:rPr>
          <w:sz w:val="32"/>
          <w:szCs w:val="32"/>
          <w:lang w:val="en-US"/>
        </w:rPr>
        <w:t>, Grade I, II, III</w:t>
      </w:r>
    </w:p>
    <w:p w:rsidR="00FF7CA5" w:rsidRPr="00444426" w:rsidRDefault="00FF7CA5" w:rsidP="00FF7CA5">
      <w:pPr>
        <w:spacing w:line="360" w:lineRule="auto"/>
        <w:ind w:firstLine="567"/>
        <w:jc w:val="both"/>
        <w:rPr>
          <w:sz w:val="32"/>
          <w:szCs w:val="32"/>
          <w:lang w:val="en-US"/>
        </w:rPr>
      </w:pPr>
      <w:r w:rsidRPr="00444426">
        <w:rPr>
          <w:sz w:val="32"/>
          <w:szCs w:val="32"/>
          <w:lang w:val="en-US"/>
        </w:rPr>
        <w:t>Order of St. Daniel of Moscow, Grade I, II</w:t>
      </w:r>
    </w:p>
    <w:p w:rsidR="00FF7CA5" w:rsidRPr="00444426" w:rsidRDefault="00FF7CA5" w:rsidP="00FF7CA5">
      <w:pPr>
        <w:spacing w:line="360" w:lineRule="auto"/>
        <w:ind w:firstLine="567"/>
        <w:jc w:val="both"/>
        <w:rPr>
          <w:sz w:val="32"/>
          <w:szCs w:val="32"/>
          <w:lang w:val="en-US"/>
        </w:rPr>
      </w:pPr>
      <w:r w:rsidRPr="00444426">
        <w:rPr>
          <w:sz w:val="32"/>
          <w:szCs w:val="32"/>
          <w:lang w:val="en-US"/>
        </w:rPr>
        <w:t>The commemorative sign Order of the Star of Bethlehem</w:t>
      </w:r>
    </w:p>
    <w:p w:rsidR="00FF7CA5" w:rsidRPr="00444426" w:rsidRDefault="00FF7CA5" w:rsidP="00FF7CA5">
      <w:pPr>
        <w:spacing w:line="360" w:lineRule="auto"/>
        <w:ind w:firstLine="567"/>
        <w:jc w:val="both"/>
        <w:rPr>
          <w:sz w:val="32"/>
          <w:szCs w:val="32"/>
          <w:lang w:val="en-US"/>
        </w:rPr>
      </w:pPr>
      <w:r w:rsidRPr="00444426">
        <w:rPr>
          <w:sz w:val="32"/>
          <w:szCs w:val="32"/>
          <w:lang w:val="en-US"/>
        </w:rPr>
        <w:t>Order of Andrew the Blessed</w:t>
      </w:r>
    </w:p>
    <w:p w:rsidR="00FF7CA5" w:rsidRPr="00444426" w:rsidRDefault="00FF7CA5" w:rsidP="00FF7CA5">
      <w:pPr>
        <w:spacing w:line="360" w:lineRule="auto"/>
        <w:ind w:firstLine="567"/>
        <w:jc w:val="both"/>
        <w:rPr>
          <w:sz w:val="32"/>
          <w:szCs w:val="32"/>
          <w:lang w:val="en-US"/>
        </w:rPr>
      </w:pPr>
      <w:proofErr w:type="spellStart"/>
      <w:r w:rsidRPr="00444426">
        <w:rPr>
          <w:sz w:val="32"/>
          <w:szCs w:val="32"/>
          <w:lang w:val="en-US"/>
        </w:rPr>
        <w:t>Vasily</w:t>
      </w:r>
      <w:proofErr w:type="spellEnd"/>
      <w:r w:rsidRPr="00444426">
        <w:rPr>
          <w:sz w:val="32"/>
          <w:szCs w:val="32"/>
          <w:lang w:val="en-US"/>
        </w:rPr>
        <w:t xml:space="preserve"> Nikolayevich </w:t>
      </w:r>
      <w:proofErr w:type="spellStart"/>
      <w:r w:rsidRPr="00444426">
        <w:rPr>
          <w:sz w:val="32"/>
          <w:szCs w:val="32"/>
          <w:lang w:val="en-US"/>
        </w:rPr>
        <w:t>Khitrovo</w:t>
      </w:r>
      <w:proofErr w:type="spellEnd"/>
      <w:r w:rsidRPr="00444426">
        <w:rPr>
          <w:sz w:val="32"/>
          <w:szCs w:val="32"/>
          <w:lang w:val="en-US"/>
        </w:rPr>
        <w:t xml:space="preserve"> Medal of Imperial, Orthodox and Palestinian Association</w:t>
      </w:r>
    </w:p>
    <w:p w:rsidR="00FF7CA5" w:rsidRPr="00444426" w:rsidRDefault="00FF7CA5" w:rsidP="00FF7CA5">
      <w:pPr>
        <w:spacing w:line="360" w:lineRule="auto"/>
        <w:ind w:firstLine="567"/>
        <w:jc w:val="both"/>
        <w:rPr>
          <w:sz w:val="32"/>
          <w:szCs w:val="32"/>
          <w:lang w:val="en-US"/>
        </w:rPr>
      </w:pPr>
      <w:r w:rsidRPr="00444426">
        <w:rPr>
          <w:sz w:val="32"/>
          <w:szCs w:val="32"/>
          <w:lang w:val="en-US"/>
        </w:rPr>
        <w:t>The Highest Muslim Religious Award, Order of Honesty Al-</w:t>
      </w:r>
      <w:proofErr w:type="spellStart"/>
      <w:r w:rsidRPr="00444426">
        <w:rPr>
          <w:sz w:val="32"/>
          <w:szCs w:val="32"/>
          <w:lang w:val="en-US"/>
        </w:rPr>
        <w:t>Fakhr</w:t>
      </w:r>
      <w:proofErr w:type="spellEnd"/>
      <w:r w:rsidRPr="00444426">
        <w:rPr>
          <w:sz w:val="32"/>
          <w:szCs w:val="32"/>
          <w:lang w:val="en-US"/>
        </w:rPr>
        <w:t>, Grade I</w:t>
      </w:r>
    </w:p>
    <w:p w:rsidR="00FF7CA5" w:rsidRPr="00444426" w:rsidRDefault="00FF7CA5" w:rsidP="00FF7CA5">
      <w:pPr>
        <w:spacing w:line="360" w:lineRule="auto"/>
        <w:ind w:firstLine="567"/>
        <w:jc w:val="both"/>
        <w:rPr>
          <w:sz w:val="32"/>
          <w:szCs w:val="32"/>
          <w:lang w:val="en-US"/>
        </w:rPr>
      </w:pPr>
      <w:proofErr w:type="gramStart"/>
      <w:r w:rsidRPr="00444426">
        <w:rPr>
          <w:sz w:val="32"/>
          <w:szCs w:val="32"/>
          <w:lang w:val="en-US"/>
        </w:rPr>
        <w:t xml:space="preserve">Order of Glory and Honesty, the second senior order of the Russian Orthodox Church, established by the initiative of St. Patriarch </w:t>
      </w:r>
      <w:proofErr w:type="spellStart"/>
      <w:r w:rsidRPr="00444426">
        <w:rPr>
          <w:sz w:val="32"/>
          <w:szCs w:val="32"/>
          <w:lang w:val="en-US"/>
        </w:rPr>
        <w:t>Alexiy</w:t>
      </w:r>
      <w:proofErr w:type="spellEnd"/>
      <w:r w:rsidRPr="00444426">
        <w:rPr>
          <w:sz w:val="32"/>
          <w:szCs w:val="32"/>
          <w:lang w:val="en-US"/>
        </w:rPr>
        <w:t xml:space="preserve"> II and the Holy Synod on March 25, 2004.</w:t>
      </w:r>
      <w:proofErr w:type="gramEnd"/>
      <w:r w:rsidRPr="00444426">
        <w:rPr>
          <w:sz w:val="32"/>
          <w:szCs w:val="32"/>
          <w:lang w:val="en-US"/>
        </w:rPr>
        <w:t xml:space="preserve"> The motto of the order is the </w:t>
      </w:r>
      <w:r w:rsidRPr="00444426">
        <w:rPr>
          <w:sz w:val="32"/>
          <w:szCs w:val="32"/>
          <w:lang w:val="en-US"/>
        </w:rPr>
        <w:lastRenderedPageBreak/>
        <w:t xml:space="preserve">words of the Saint Apostle Paul: “Glory and honesty to anyone who does </w:t>
      </w:r>
      <w:proofErr w:type="gramStart"/>
      <w:r w:rsidRPr="00444426">
        <w:rPr>
          <w:sz w:val="32"/>
          <w:szCs w:val="32"/>
          <w:lang w:val="en-US"/>
        </w:rPr>
        <w:t>good</w:t>
      </w:r>
      <w:proofErr w:type="gramEnd"/>
      <w:r w:rsidRPr="00444426">
        <w:rPr>
          <w:sz w:val="32"/>
          <w:szCs w:val="32"/>
          <w:lang w:val="en-US"/>
        </w:rPr>
        <w:t>”.</w:t>
      </w:r>
    </w:p>
    <w:p w:rsidR="00FF7CA5" w:rsidRPr="00444426" w:rsidRDefault="00FF7CA5" w:rsidP="00FF7CA5">
      <w:pPr>
        <w:spacing w:line="360" w:lineRule="auto"/>
        <w:ind w:firstLine="567"/>
        <w:jc w:val="both"/>
        <w:rPr>
          <w:sz w:val="32"/>
          <w:szCs w:val="32"/>
          <w:lang w:val="en-US"/>
        </w:rPr>
      </w:pPr>
      <w:r w:rsidRPr="00444426">
        <w:rPr>
          <w:sz w:val="32"/>
          <w:szCs w:val="32"/>
          <w:lang w:val="en-US"/>
        </w:rPr>
        <w:t>The awardees of the Order are:</w:t>
      </w:r>
    </w:p>
    <w:p w:rsidR="00FF7CA5" w:rsidRPr="00444426" w:rsidRDefault="00FF7CA5" w:rsidP="00FF7CA5">
      <w:pPr>
        <w:spacing w:line="360" w:lineRule="auto"/>
        <w:ind w:firstLine="567"/>
        <w:jc w:val="both"/>
        <w:rPr>
          <w:sz w:val="32"/>
          <w:szCs w:val="32"/>
          <w:lang w:val="en-US"/>
        </w:rPr>
      </w:pPr>
      <w:r w:rsidRPr="00444426">
        <w:rPr>
          <w:sz w:val="32"/>
          <w:szCs w:val="32"/>
          <w:lang w:val="en-US"/>
        </w:rPr>
        <w:t xml:space="preserve">Saint Patriarch </w:t>
      </w:r>
      <w:proofErr w:type="spellStart"/>
      <w:r w:rsidRPr="00444426">
        <w:rPr>
          <w:sz w:val="32"/>
          <w:szCs w:val="32"/>
          <w:lang w:val="en-US"/>
        </w:rPr>
        <w:t>Alexiy</w:t>
      </w:r>
      <w:proofErr w:type="spellEnd"/>
      <w:r w:rsidRPr="00444426">
        <w:rPr>
          <w:sz w:val="32"/>
          <w:szCs w:val="32"/>
          <w:lang w:val="en-US"/>
        </w:rPr>
        <w:t xml:space="preserve"> II (2005) in commemoration of the 15th Anniversary of the Activity for the good of Church and Motherland;</w:t>
      </w:r>
    </w:p>
    <w:p w:rsidR="00FF7CA5" w:rsidRPr="00444426" w:rsidRDefault="00FF7CA5" w:rsidP="00FF7CA5">
      <w:pPr>
        <w:spacing w:line="360" w:lineRule="auto"/>
        <w:ind w:firstLine="567"/>
        <w:jc w:val="both"/>
        <w:rPr>
          <w:sz w:val="32"/>
          <w:szCs w:val="32"/>
          <w:lang w:val="en-US"/>
        </w:rPr>
      </w:pPr>
      <w:r w:rsidRPr="00444426">
        <w:rPr>
          <w:sz w:val="32"/>
          <w:szCs w:val="32"/>
          <w:lang w:val="en-US"/>
        </w:rPr>
        <w:t>Vladimir Putin, President of the Russian Federation (2007) – for the significant contribution into consolidation of the Russian national identity and spiritual renewal of the Russian society;</w:t>
      </w:r>
    </w:p>
    <w:p w:rsidR="00FF7CA5" w:rsidRPr="00444426" w:rsidRDefault="00FF7CA5" w:rsidP="00FF7CA5">
      <w:pPr>
        <w:spacing w:line="360" w:lineRule="auto"/>
        <w:ind w:firstLine="567"/>
        <w:jc w:val="both"/>
        <w:rPr>
          <w:sz w:val="32"/>
          <w:szCs w:val="32"/>
          <w:lang w:val="en-US"/>
        </w:rPr>
      </w:pPr>
      <w:proofErr w:type="spellStart"/>
      <w:r w:rsidRPr="00444426">
        <w:rPr>
          <w:sz w:val="32"/>
          <w:szCs w:val="32"/>
          <w:lang w:val="en-US"/>
        </w:rPr>
        <w:t>Nursultan</w:t>
      </w:r>
      <w:proofErr w:type="spellEnd"/>
      <w:r w:rsidRPr="00444426">
        <w:rPr>
          <w:sz w:val="32"/>
          <w:szCs w:val="32"/>
          <w:lang w:val="en-US"/>
        </w:rPr>
        <w:t xml:space="preserve"> </w:t>
      </w:r>
      <w:proofErr w:type="spellStart"/>
      <w:r w:rsidRPr="00444426">
        <w:rPr>
          <w:sz w:val="32"/>
          <w:szCs w:val="32"/>
          <w:lang w:val="en-US"/>
        </w:rPr>
        <w:t>Nazarbaev</w:t>
      </w:r>
      <w:proofErr w:type="spellEnd"/>
      <w:r w:rsidRPr="00444426">
        <w:rPr>
          <w:sz w:val="32"/>
          <w:szCs w:val="32"/>
          <w:lang w:val="en-US"/>
        </w:rPr>
        <w:t xml:space="preserve">, President of </w:t>
      </w:r>
      <w:proofErr w:type="spellStart"/>
      <w:r w:rsidRPr="00444426">
        <w:rPr>
          <w:sz w:val="32"/>
          <w:szCs w:val="32"/>
          <w:lang w:val="en-US"/>
        </w:rPr>
        <w:t>Kazakhastan</w:t>
      </w:r>
      <w:proofErr w:type="spellEnd"/>
      <w:r w:rsidRPr="00444426">
        <w:rPr>
          <w:sz w:val="32"/>
          <w:szCs w:val="32"/>
          <w:lang w:val="en-US"/>
        </w:rPr>
        <w:t xml:space="preserve"> (2010) – for the big contribution into interreligious cooperation, peace building and friendship between the nations. </w:t>
      </w:r>
    </w:p>
    <w:p w:rsidR="00FF7CA5" w:rsidRDefault="00FF7CA5" w:rsidP="00FF7CA5">
      <w:pPr>
        <w:spacing w:line="380" w:lineRule="atLeast"/>
        <w:jc w:val="both"/>
        <w:rPr>
          <w:rFonts w:ascii="Tahoma" w:hAnsi="Tahoma" w:cs="Tahoma"/>
          <w:b/>
          <w:bCs/>
          <w:lang w:val="en-US"/>
        </w:rPr>
      </w:pPr>
    </w:p>
    <w:p w:rsidR="003B484D" w:rsidRPr="00444426" w:rsidRDefault="003B484D" w:rsidP="00D671DD">
      <w:pPr>
        <w:spacing w:line="380" w:lineRule="atLeast"/>
        <w:jc w:val="both"/>
        <w:rPr>
          <w:rFonts w:ascii="Tahoma" w:hAnsi="Tahoma" w:cs="Tahoma"/>
          <w:b/>
          <w:bCs/>
          <w:lang w:val="en-US"/>
        </w:rPr>
      </w:pPr>
    </w:p>
    <w:p w:rsidR="00FC0698" w:rsidRPr="00444426" w:rsidRDefault="00FF7CA5" w:rsidP="00FF7CA5">
      <w:pPr>
        <w:spacing w:line="380" w:lineRule="atLeast"/>
        <w:jc w:val="right"/>
        <w:rPr>
          <w:b/>
          <w:sz w:val="32"/>
          <w:szCs w:val="32"/>
          <w:lang w:val="en-US"/>
        </w:rPr>
      </w:pPr>
      <w:proofErr w:type="spellStart"/>
      <w:r w:rsidRPr="00444426">
        <w:rPr>
          <w:b/>
          <w:sz w:val="32"/>
          <w:szCs w:val="32"/>
          <w:lang w:val="en-US"/>
        </w:rPr>
        <w:t>RussNeft</w:t>
      </w:r>
      <w:proofErr w:type="spellEnd"/>
      <w:r w:rsidRPr="00444426">
        <w:rPr>
          <w:b/>
          <w:sz w:val="32"/>
          <w:szCs w:val="32"/>
          <w:lang w:val="en-US"/>
        </w:rPr>
        <w:t xml:space="preserve"> Press-office</w:t>
      </w:r>
    </w:p>
    <w:p w:rsidR="00FF7CA5" w:rsidRPr="00444426" w:rsidRDefault="00FF7CA5" w:rsidP="00FF7CA5">
      <w:pPr>
        <w:spacing w:line="380" w:lineRule="atLeast"/>
        <w:jc w:val="right"/>
        <w:rPr>
          <w:b/>
          <w:sz w:val="32"/>
          <w:szCs w:val="32"/>
          <w:lang w:val="en-US"/>
        </w:rPr>
      </w:pPr>
      <w:r w:rsidRPr="00444426">
        <w:rPr>
          <w:b/>
          <w:sz w:val="32"/>
          <w:szCs w:val="32"/>
          <w:lang w:val="en-US"/>
        </w:rPr>
        <w:t>Tel. (495) 411-63-24</w:t>
      </w:r>
    </w:p>
    <w:p w:rsidR="00FF7CA5" w:rsidRPr="00444426" w:rsidRDefault="00FF7CA5" w:rsidP="00FF7CA5">
      <w:pPr>
        <w:spacing w:line="380" w:lineRule="atLeast"/>
        <w:jc w:val="right"/>
        <w:rPr>
          <w:b/>
          <w:sz w:val="32"/>
          <w:szCs w:val="32"/>
          <w:lang w:val="en-US"/>
        </w:rPr>
      </w:pPr>
      <w:r w:rsidRPr="00444426">
        <w:rPr>
          <w:b/>
          <w:sz w:val="32"/>
          <w:szCs w:val="32"/>
          <w:lang w:val="en-US"/>
        </w:rPr>
        <w:t>E-mail: pr@russneft.ru</w:t>
      </w:r>
    </w:p>
    <w:sectPr w:rsidR="00FF7CA5" w:rsidRPr="00444426" w:rsidSect="0073379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07EB"/>
    <w:multiLevelType w:val="hybridMultilevel"/>
    <w:tmpl w:val="F15E2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65A3891"/>
    <w:multiLevelType w:val="hybridMultilevel"/>
    <w:tmpl w:val="99F26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2741EF"/>
    <w:multiLevelType w:val="hybridMultilevel"/>
    <w:tmpl w:val="741CD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23058F"/>
    <w:multiLevelType w:val="hybridMultilevel"/>
    <w:tmpl w:val="F574EA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1B"/>
    <w:rsid w:val="0004362C"/>
    <w:rsid w:val="00051A94"/>
    <w:rsid w:val="000C6AE4"/>
    <w:rsid w:val="0012680D"/>
    <w:rsid w:val="001866A9"/>
    <w:rsid w:val="00190133"/>
    <w:rsid w:val="00267759"/>
    <w:rsid w:val="002732D2"/>
    <w:rsid w:val="002A1CEC"/>
    <w:rsid w:val="002F4CAF"/>
    <w:rsid w:val="0030784C"/>
    <w:rsid w:val="003431BB"/>
    <w:rsid w:val="00354BA6"/>
    <w:rsid w:val="003870E8"/>
    <w:rsid w:val="003B484D"/>
    <w:rsid w:val="003C5FF1"/>
    <w:rsid w:val="003F493C"/>
    <w:rsid w:val="00444426"/>
    <w:rsid w:val="00481B3A"/>
    <w:rsid w:val="0048511E"/>
    <w:rsid w:val="004A12C1"/>
    <w:rsid w:val="004F1D84"/>
    <w:rsid w:val="005F385A"/>
    <w:rsid w:val="0063764E"/>
    <w:rsid w:val="0064239C"/>
    <w:rsid w:val="00683D18"/>
    <w:rsid w:val="006E0ABE"/>
    <w:rsid w:val="006E39C0"/>
    <w:rsid w:val="00733799"/>
    <w:rsid w:val="00784D7B"/>
    <w:rsid w:val="00821E09"/>
    <w:rsid w:val="0086614D"/>
    <w:rsid w:val="00870022"/>
    <w:rsid w:val="008A2882"/>
    <w:rsid w:val="008A79FD"/>
    <w:rsid w:val="0090126C"/>
    <w:rsid w:val="00934A96"/>
    <w:rsid w:val="0094123B"/>
    <w:rsid w:val="009526E9"/>
    <w:rsid w:val="009D28CA"/>
    <w:rsid w:val="009F3128"/>
    <w:rsid w:val="00A016F7"/>
    <w:rsid w:val="00A4743F"/>
    <w:rsid w:val="00A51E58"/>
    <w:rsid w:val="00AB6F87"/>
    <w:rsid w:val="00AC1D1B"/>
    <w:rsid w:val="00B5395A"/>
    <w:rsid w:val="00B620B6"/>
    <w:rsid w:val="00C62D3F"/>
    <w:rsid w:val="00CB2600"/>
    <w:rsid w:val="00D5031B"/>
    <w:rsid w:val="00D671DD"/>
    <w:rsid w:val="00D94820"/>
    <w:rsid w:val="00D97AEA"/>
    <w:rsid w:val="00E17935"/>
    <w:rsid w:val="00EA636E"/>
    <w:rsid w:val="00EB768F"/>
    <w:rsid w:val="00EC7B39"/>
    <w:rsid w:val="00ED5F53"/>
    <w:rsid w:val="00F10DBB"/>
    <w:rsid w:val="00F25E10"/>
    <w:rsid w:val="00F75C64"/>
    <w:rsid w:val="00FA46C3"/>
    <w:rsid w:val="00FC0698"/>
    <w:rsid w:val="00FF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031B"/>
    <w:rPr>
      <w:color w:val="0000FF"/>
      <w:u w:val="single"/>
    </w:rPr>
  </w:style>
  <w:style w:type="character" w:customStyle="1" w:styleId="Normal">
    <w:name w:val="Normal Знак"/>
    <w:link w:val="1"/>
    <w:locked/>
    <w:rsid w:val="00D5031B"/>
    <w:rPr>
      <w:sz w:val="24"/>
    </w:rPr>
  </w:style>
  <w:style w:type="paragraph" w:customStyle="1" w:styleId="1">
    <w:name w:val="Обычный1"/>
    <w:link w:val="Normal"/>
    <w:rsid w:val="00D5031B"/>
    <w:pPr>
      <w:snapToGrid w:val="0"/>
      <w:spacing w:before="100" w:after="100" w:line="240" w:lineRule="auto"/>
    </w:pPr>
    <w:rPr>
      <w:sz w:val="24"/>
    </w:rPr>
  </w:style>
  <w:style w:type="paragraph" w:styleId="a4">
    <w:name w:val="Balloon Text"/>
    <w:basedOn w:val="a"/>
    <w:link w:val="a5"/>
    <w:uiPriority w:val="99"/>
    <w:semiHidden/>
    <w:unhideWhenUsed/>
    <w:rsid w:val="00D5031B"/>
    <w:rPr>
      <w:rFonts w:ascii="Tahoma" w:hAnsi="Tahoma" w:cs="Tahoma"/>
      <w:sz w:val="16"/>
      <w:szCs w:val="16"/>
    </w:rPr>
  </w:style>
  <w:style w:type="character" w:customStyle="1" w:styleId="a5">
    <w:name w:val="Текст выноски Знак"/>
    <w:basedOn w:val="a0"/>
    <w:link w:val="a4"/>
    <w:uiPriority w:val="99"/>
    <w:semiHidden/>
    <w:rsid w:val="00D5031B"/>
    <w:rPr>
      <w:rFonts w:ascii="Tahoma" w:eastAsia="Times New Roman" w:hAnsi="Tahoma" w:cs="Tahoma"/>
      <w:sz w:val="16"/>
      <w:szCs w:val="16"/>
      <w:lang w:eastAsia="ru-RU"/>
    </w:rPr>
  </w:style>
  <w:style w:type="paragraph" w:styleId="a6">
    <w:name w:val="Normal (Web)"/>
    <w:basedOn w:val="a"/>
    <w:semiHidden/>
    <w:unhideWhenUsed/>
    <w:rsid w:val="00AC1D1B"/>
    <w:pPr>
      <w:spacing w:before="100" w:beforeAutospacing="1" w:after="100" w:afterAutospacing="1"/>
    </w:pPr>
  </w:style>
  <w:style w:type="table" w:styleId="a7">
    <w:name w:val="Table Grid"/>
    <w:basedOn w:val="a1"/>
    <w:uiPriority w:val="59"/>
    <w:rsid w:val="00FC0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 Знак Знак Знак Знак Знак Знак1 Знак"/>
    <w:basedOn w:val="a"/>
    <w:rsid w:val="00FC0698"/>
    <w:pPr>
      <w:spacing w:after="160"/>
    </w:pPr>
    <w:rPr>
      <w:rFonts w:ascii="Arial" w:hAnsi="Arial"/>
      <w:b/>
      <w:color w:val="FFFFFF"/>
      <w:sz w:val="32"/>
      <w:szCs w:val="20"/>
      <w:lang w:val="en-US" w:eastAsia="en-US"/>
    </w:rPr>
  </w:style>
  <w:style w:type="paragraph" w:styleId="a8">
    <w:name w:val="List Paragraph"/>
    <w:basedOn w:val="a"/>
    <w:uiPriority w:val="34"/>
    <w:qFormat/>
    <w:rsid w:val="009412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031B"/>
    <w:rPr>
      <w:color w:val="0000FF"/>
      <w:u w:val="single"/>
    </w:rPr>
  </w:style>
  <w:style w:type="character" w:customStyle="1" w:styleId="Normal">
    <w:name w:val="Normal Знак"/>
    <w:link w:val="1"/>
    <w:locked/>
    <w:rsid w:val="00D5031B"/>
    <w:rPr>
      <w:sz w:val="24"/>
    </w:rPr>
  </w:style>
  <w:style w:type="paragraph" w:customStyle="1" w:styleId="1">
    <w:name w:val="Обычный1"/>
    <w:link w:val="Normal"/>
    <w:rsid w:val="00D5031B"/>
    <w:pPr>
      <w:snapToGrid w:val="0"/>
      <w:spacing w:before="100" w:after="100" w:line="240" w:lineRule="auto"/>
    </w:pPr>
    <w:rPr>
      <w:sz w:val="24"/>
    </w:rPr>
  </w:style>
  <w:style w:type="paragraph" w:styleId="a4">
    <w:name w:val="Balloon Text"/>
    <w:basedOn w:val="a"/>
    <w:link w:val="a5"/>
    <w:uiPriority w:val="99"/>
    <w:semiHidden/>
    <w:unhideWhenUsed/>
    <w:rsid w:val="00D5031B"/>
    <w:rPr>
      <w:rFonts w:ascii="Tahoma" w:hAnsi="Tahoma" w:cs="Tahoma"/>
      <w:sz w:val="16"/>
      <w:szCs w:val="16"/>
    </w:rPr>
  </w:style>
  <w:style w:type="character" w:customStyle="1" w:styleId="a5">
    <w:name w:val="Текст выноски Знак"/>
    <w:basedOn w:val="a0"/>
    <w:link w:val="a4"/>
    <w:uiPriority w:val="99"/>
    <w:semiHidden/>
    <w:rsid w:val="00D5031B"/>
    <w:rPr>
      <w:rFonts w:ascii="Tahoma" w:eastAsia="Times New Roman" w:hAnsi="Tahoma" w:cs="Tahoma"/>
      <w:sz w:val="16"/>
      <w:szCs w:val="16"/>
      <w:lang w:eastAsia="ru-RU"/>
    </w:rPr>
  </w:style>
  <w:style w:type="paragraph" w:styleId="a6">
    <w:name w:val="Normal (Web)"/>
    <w:basedOn w:val="a"/>
    <w:semiHidden/>
    <w:unhideWhenUsed/>
    <w:rsid w:val="00AC1D1B"/>
    <w:pPr>
      <w:spacing w:before="100" w:beforeAutospacing="1" w:after="100" w:afterAutospacing="1"/>
    </w:pPr>
  </w:style>
  <w:style w:type="table" w:styleId="a7">
    <w:name w:val="Table Grid"/>
    <w:basedOn w:val="a1"/>
    <w:uiPriority w:val="59"/>
    <w:rsid w:val="00FC0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 Знак Знак Знак Знак Знак Знак1 Знак"/>
    <w:basedOn w:val="a"/>
    <w:rsid w:val="00FC0698"/>
    <w:pPr>
      <w:spacing w:after="160"/>
    </w:pPr>
    <w:rPr>
      <w:rFonts w:ascii="Arial" w:hAnsi="Arial"/>
      <w:b/>
      <w:color w:val="FFFFFF"/>
      <w:sz w:val="32"/>
      <w:szCs w:val="20"/>
      <w:lang w:val="en-US" w:eastAsia="en-US"/>
    </w:rPr>
  </w:style>
  <w:style w:type="paragraph" w:styleId="a8">
    <w:name w:val="List Paragraph"/>
    <w:basedOn w:val="a"/>
    <w:uiPriority w:val="34"/>
    <w:qFormat/>
    <w:rsid w:val="00941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216">
      <w:bodyDiv w:val="1"/>
      <w:marLeft w:val="0"/>
      <w:marRight w:val="0"/>
      <w:marTop w:val="0"/>
      <w:marBottom w:val="0"/>
      <w:divBdr>
        <w:top w:val="none" w:sz="0" w:space="0" w:color="auto"/>
        <w:left w:val="none" w:sz="0" w:space="0" w:color="auto"/>
        <w:bottom w:val="none" w:sz="0" w:space="0" w:color="auto"/>
        <w:right w:val="none" w:sz="0" w:space="0" w:color="auto"/>
      </w:divBdr>
    </w:div>
    <w:div w:id="55977961">
      <w:bodyDiv w:val="1"/>
      <w:marLeft w:val="0"/>
      <w:marRight w:val="0"/>
      <w:marTop w:val="0"/>
      <w:marBottom w:val="0"/>
      <w:divBdr>
        <w:top w:val="none" w:sz="0" w:space="0" w:color="auto"/>
        <w:left w:val="none" w:sz="0" w:space="0" w:color="auto"/>
        <w:bottom w:val="none" w:sz="0" w:space="0" w:color="auto"/>
        <w:right w:val="none" w:sz="0" w:space="0" w:color="auto"/>
      </w:divBdr>
    </w:div>
    <w:div w:id="372852232">
      <w:bodyDiv w:val="1"/>
      <w:marLeft w:val="0"/>
      <w:marRight w:val="0"/>
      <w:marTop w:val="0"/>
      <w:marBottom w:val="0"/>
      <w:divBdr>
        <w:top w:val="none" w:sz="0" w:space="0" w:color="auto"/>
        <w:left w:val="none" w:sz="0" w:space="0" w:color="auto"/>
        <w:bottom w:val="none" w:sz="0" w:space="0" w:color="auto"/>
        <w:right w:val="none" w:sz="0" w:space="0" w:color="auto"/>
      </w:divBdr>
    </w:div>
    <w:div w:id="952903090">
      <w:bodyDiv w:val="1"/>
      <w:marLeft w:val="0"/>
      <w:marRight w:val="0"/>
      <w:marTop w:val="0"/>
      <w:marBottom w:val="0"/>
      <w:divBdr>
        <w:top w:val="none" w:sz="0" w:space="0" w:color="auto"/>
        <w:left w:val="none" w:sz="0" w:space="0" w:color="auto"/>
        <w:bottom w:val="none" w:sz="0" w:space="0" w:color="auto"/>
        <w:right w:val="none" w:sz="0" w:space="0" w:color="auto"/>
      </w:divBdr>
    </w:div>
    <w:div w:id="1345520515">
      <w:bodyDiv w:val="1"/>
      <w:marLeft w:val="0"/>
      <w:marRight w:val="0"/>
      <w:marTop w:val="0"/>
      <w:marBottom w:val="0"/>
      <w:divBdr>
        <w:top w:val="none" w:sz="0" w:space="0" w:color="auto"/>
        <w:left w:val="none" w:sz="0" w:space="0" w:color="auto"/>
        <w:bottom w:val="none" w:sz="0" w:space="0" w:color="auto"/>
        <w:right w:val="none" w:sz="0" w:space="0" w:color="auto"/>
      </w:divBdr>
    </w:div>
    <w:div w:id="1672103026">
      <w:bodyDiv w:val="1"/>
      <w:marLeft w:val="0"/>
      <w:marRight w:val="0"/>
      <w:marTop w:val="0"/>
      <w:marBottom w:val="0"/>
      <w:divBdr>
        <w:top w:val="none" w:sz="0" w:space="0" w:color="auto"/>
        <w:left w:val="none" w:sz="0" w:space="0" w:color="auto"/>
        <w:bottom w:val="none" w:sz="0" w:space="0" w:color="auto"/>
        <w:right w:val="none" w:sz="0" w:space="0" w:color="auto"/>
      </w:divBdr>
    </w:div>
    <w:div w:id="1893807917">
      <w:bodyDiv w:val="1"/>
      <w:marLeft w:val="0"/>
      <w:marRight w:val="0"/>
      <w:marTop w:val="0"/>
      <w:marBottom w:val="0"/>
      <w:divBdr>
        <w:top w:val="none" w:sz="0" w:space="0" w:color="auto"/>
        <w:left w:val="none" w:sz="0" w:space="0" w:color="auto"/>
        <w:bottom w:val="none" w:sz="0" w:space="0" w:color="auto"/>
        <w:right w:val="none" w:sz="0" w:space="0" w:color="auto"/>
      </w:divBdr>
    </w:div>
    <w:div w:id="2115785879">
      <w:bodyDiv w:val="1"/>
      <w:marLeft w:val="0"/>
      <w:marRight w:val="0"/>
      <w:marTop w:val="0"/>
      <w:marBottom w:val="0"/>
      <w:divBdr>
        <w:top w:val="none" w:sz="0" w:space="0" w:color="auto"/>
        <w:left w:val="none" w:sz="0" w:space="0" w:color="auto"/>
        <w:bottom w:val="none" w:sz="0" w:space="0" w:color="auto"/>
        <w:right w:val="none" w:sz="0" w:space="0" w:color="auto"/>
      </w:divBdr>
    </w:div>
    <w:div w:id="21408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neft.ru/" TargetMode="External"/><Relationship Id="rId3" Type="http://schemas.microsoft.com/office/2007/relationships/stylesWithEffects" Target="stylesWithEffects.xml"/><Relationship Id="rId7" Type="http://schemas.openxmlformats.org/officeDocument/2006/relationships/image" Target="cid:image001.png@01C145ED.A904E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2985</Characters>
  <Application>Microsoft Office Word</Application>
  <DocSecurity>4</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Басалаев Павел Николаевич</dc:creator>
  <cp:lastModifiedBy>Матчина Зоя Георгиевна</cp:lastModifiedBy>
  <cp:revision>2</cp:revision>
  <cp:lastPrinted>2014-10-08T14:01:00Z</cp:lastPrinted>
  <dcterms:created xsi:type="dcterms:W3CDTF">2015-05-22T14:00:00Z</dcterms:created>
  <dcterms:modified xsi:type="dcterms:W3CDTF">2015-05-22T14:00:00Z</dcterms:modified>
</cp:coreProperties>
</file>